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E264A">
        <w:trPr>
          <w:trHeight w:val="68"/>
          <w:jc w:val="center"/>
        </w:trPr>
        <w:tc>
          <w:tcPr>
            <w:tcW w:w="8789" w:type="dxa"/>
            <w:gridSpan w:val="2"/>
          </w:tcPr>
          <w:p w14:paraId="1D8DD3C9" w14:textId="252289FB" w:rsidR="00AA7D26" w:rsidRPr="00005884" w:rsidRDefault="004A5E57" w:rsidP="004A5E57">
            <w:pPr>
              <w:ind w:left="-107"/>
              <w:outlineLvl w:val="2"/>
              <w:rPr>
                <w:rFonts w:ascii="Tahoma" w:hAnsi="Tahoma" w:cs="Tahoma"/>
                <w:bCs/>
                <w:color w:val="000000"/>
                <w:sz w:val="14"/>
                <w:szCs w:val="14"/>
                <w:lang w:val="it-IT" w:eastAsia="it-IT"/>
              </w:rPr>
            </w:pPr>
            <w:r w:rsidRPr="004A5E57">
              <w:rPr>
                <w:rFonts w:ascii="Tahoma" w:hAnsi="Tahoma" w:cs="Tahoma"/>
                <w:iCs/>
                <w:color w:val="333333"/>
                <w:sz w:val="14"/>
                <w:szCs w:val="14"/>
                <w:lang w:val="it-IT" w:eastAsia="it-IT"/>
              </w:rPr>
              <w:t>Guest Editors:</w:t>
            </w:r>
            <w:r w:rsidRPr="004A5E57">
              <w:rPr>
                <w:rFonts w:ascii="Tahoma" w:hAnsi="Tahoma" w:cs="Tahoma"/>
                <w:color w:val="000000"/>
                <w:sz w:val="14"/>
                <w:szCs w:val="14"/>
                <w:shd w:val="clear" w:color="auto" w:fill="FFFFFF"/>
                <w:lang w:val="it-IT"/>
              </w:rPr>
              <w:t xml:space="preserve"> </w:t>
            </w:r>
            <w:r w:rsidR="00005884" w:rsidRPr="00005884">
              <w:rPr>
                <w:rFonts w:ascii="Tahoma" w:hAnsi="Tahoma" w:cs="Tahoma"/>
                <w:color w:val="000000"/>
                <w:sz w:val="14"/>
                <w:szCs w:val="14"/>
                <w:shd w:val="clear" w:color="auto" w:fill="FFFFFF"/>
                <w:lang w:val="it-IT"/>
              </w:rPr>
              <w:t>Marco Bravi, Antonio Marzocchella, Giuseppe Caputo</w:t>
            </w:r>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AIDIC Servizi S.r.l.</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p w14:paraId="2E667253" w14:textId="1197F9A1" w:rsidR="00E978D0" w:rsidRPr="009B4970" w:rsidRDefault="009B4970" w:rsidP="00E978D0">
      <w:pPr>
        <w:pStyle w:val="CETTitle"/>
        <w:rPr>
          <w:szCs w:val="32"/>
        </w:rPr>
      </w:pPr>
      <w:bookmarkStart w:id="1" w:name="_Hlk216790230"/>
      <w:bookmarkEnd w:id="0"/>
      <w:r>
        <w:rPr>
          <w:color w:val="000000"/>
          <w:szCs w:val="32"/>
          <w:lang w:val="en-US"/>
        </w:rPr>
        <w:t>V</w:t>
      </w:r>
      <w:r w:rsidRPr="009B4970">
        <w:rPr>
          <w:color w:val="000000"/>
          <w:szCs w:val="32"/>
          <w:lang w:val="en-US"/>
        </w:rPr>
        <w:t xml:space="preserve">alorization of </w:t>
      </w:r>
      <w:r>
        <w:rPr>
          <w:color w:val="000000"/>
          <w:szCs w:val="32"/>
          <w:lang w:val="en-US"/>
        </w:rPr>
        <w:t>C</w:t>
      </w:r>
      <w:r w:rsidRPr="009B4970">
        <w:rPr>
          <w:color w:val="000000"/>
          <w:szCs w:val="32"/>
          <w:lang w:val="en-US"/>
        </w:rPr>
        <w:t xml:space="preserve">heese </w:t>
      </w:r>
      <w:r>
        <w:rPr>
          <w:color w:val="000000"/>
          <w:szCs w:val="32"/>
          <w:lang w:val="en-US"/>
        </w:rPr>
        <w:t>W</w:t>
      </w:r>
      <w:r w:rsidRPr="009B4970">
        <w:rPr>
          <w:color w:val="000000"/>
          <w:szCs w:val="32"/>
          <w:lang w:val="en-US"/>
        </w:rPr>
        <w:t xml:space="preserve">hey for </w:t>
      </w:r>
      <w:r>
        <w:rPr>
          <w:color w:val="000000"/>
          <w:szCs w:val="32"/>
          <w:lang w:val="en-US"/>
        </w:rPr>
        <w:t>B</w:t>
      </w:r>
      <w:r w:rsidRPr="009B4970">
        <w:rPr>
          <w:color w:val="000000"/>
          <w:szCs w:val="32"/>
          <w:lang w:val="en-US"/>
        </w:rPr>
        <w:t xml:space="preserve">acterial </w:t>
      </w:r>
      <w:r>
        <w:rPr>
          <w:color w:val="000000"/>
          <w:szCs w:val="32"/>
          <w:lang w:val="en-US"/>
        </w:rPr>
        <w:t>N</w:t>
      </w:r>
      <w:r w:rsidRPr="009B4970">
        <w:rPr>
          <w:color w:val="000000"/>
          <w:szCs w:val="32"/>
          <w:lang w:val="en-US"/>
        </w:rPr>
        <w:t xml:space="preserve">anocellulose </w:t>
      </w:r>
      <w:r>
        <w:rPr>
          <w:color w:val="000000"/>
          <w:szCs w:val="32"/>
          <w:lang w:val="en-US"/>
        </w:rPr>
        <w:t>P</w:t>
      </w:r>
      <w:r w:rsidRPr="009B4970">
        <w:rPr>
          <w:color w:val="000000"/>
          <w:szCs w:val="32"/>
          <w:lang w:val="en-US"/>
        </w:rPr>
        <w:t>roduction</w:t>
      </w:r>
      <w:bookmarkEnd w:id="1"/>
    </w:p>
    <w:p w14:paraId="0488FED2" w14:textId="48B57733" w:rsidR="00B57E6F" w:rsidRPr="00196B88" w:rsidRDefault="009B4970" w:rsidP="00B57E6F">
      <w:pPr>
        <w:pStyle w:val="CETAuthors"/>
        <w:rPr>
          <w:vertAlign w:val="superscript"/>
          <w:lang w:val="pt-BR"/>
        </w:rPr>
      </w:pPr>
      <w:r w:rsidRPr="009B4970">
        <w:rPr>
          <w:lang w:val="pt-BR"/>
        </w:rPr>
        <w:t>Maryana R. Santos</w:t>
      </w:r>
      <w:r w:rsidRPr="009B4970">
        <w:rPr>
          <w:vertAlign w:val="superscript"/>
          <w:lang w:val="pt-BR"/>
        </w:rPr>
        <w:t>a</w:t>
      </w:r>
      <w:r w:rsidRPr="009B4970">
        <w:rPr>
          <w:lang w:val="pt-BR"/>
        </w:rPr>
        <w:t>, Gabriela L. Souza</w:t>
      </w:r>
      <w:r w:rsidRPr="009B4970">
        <w:rPr>
          <w:vertAlign w:val="superscript"/>
          <w:lang w:val="pt-BR"/>
        </w:rPr>
        <w:t>b</w:t>
      </w:r>
      <w:r w:rsidRPr="009B4970">
        <w:rPr>
          <w:lang w:val="pt-BR"/>
        </w:rPr>
        <w:t>, Maria E.</w:t>
      </w:r>
      <w:r w:rsidR="00986E41">
        <w:rPr>
          <w:lang w:val="pt-BR"/>
        </w:rPr>
        <w:t xml:space="preserve"> P. I.</w:t>
      </w:r>
      <w:r w:rsidRPr="009B4970">
        <w:rPr>
          <w:lang w:val="pt-BR"/>
        </w:rPr>
        <w:t xml:space="preserve"> Silva, Ana J</w:t>
      </w:r>
      <w:r w:rsidR="00986E41">
        <w:rPr>
          <w:lang w:val="pt-BR"/>
        </w:rPr>
        <w:t>. V. M.</w:t>
      </w:r>
      <w:r w:rsidRPr="009B4970">
        <w:rPr>
          <w:lang w:val="pt-BR"/>
        </w:rPr>
        <w:t xml:space="preserve"> Soares</w:t>
      </w:r>
      <w:r w:rsidRPr="009B4970">
        <w:rPr>
          <w:vertAlign w:val="superscript"/>
          <w:lang w:val="pt-BR"/>
        </w:rPr>
        <w:t>a</w:t>
      </w:r>
      <w:r w:rsidRPr="009B4970">
        <w:rPr>
          <w:lang w:val="pt-BR"/>
        </w:rPr>
        <w:t>, Italo J. B. Durval</w:t>
      </w:r>
      <w:r w:rsidR="00196B88">
        <w:rPr>
          <w:vertAlign w:val="superscript"/>
          <w:lang w:val="pt-BR"/>
        </w:rPr>
        <w:t>c</w:t>
      </w:r>
      <w:r w:rsidRPr="009B4970">
        <w:rPr>
          <w:lang w:val="pt-BR"/>
        </w:rPr>
        <w:t>, Cláudio G. S. Júnior</w:t>
      </w:r>
      <w:r w:rsidRPr="009B4970">
        <w:rPr>
          <w:vertAlign w:val="superscript"/>
          <w:lang w:val="pt-BR"/>
        </w:rPr>
        <w:t>a</w:t>
      </w:r>
      <w:r w:rsidR="00196B88">
        <w:rPr>
          <w:vertAlign w:val="superscript"/>
          <w:lang w:val="pt-BR"/>
        </w:rPr>
        <w:t>,c</w:t>
      </w:r>
      <w:r w:rsidRPr="009B4970">
        <w:rPr>
          <w:lang w:val="pt-BR"/>
        </w:rPr>
        <w:t>, Andrea F. S. Costa</w:t>
      </w:r>
      <w:r w:rsidRPr="009B4970">
        <w:rPr>
          <w:vertAlign w:val="superscript"/>
          <w:lang w:val="pt-BR"/>
        </w:rPr>
        <w:t>b</w:t>
      </w:r>
      <w:r w:rsidR="00196B88">
        <w:rPr>
          <w:vertAlign w:val="superscript"/>
          <w:lang w:val="pt-BR"/>
        </w:rPr>
        <w:t>,c</w:t>
      </w:r>
      <w:r w:rsidRPr="009B4970">
        <w:rPr>
          <w:lang w:val="pt-BR"/>
        </w:rPr>
        <w:t>, Leonie A. Sarubbo</w:t>
      </w:r>
      <w:r w:rsidR="00196B88">
        <w:rPr>
          <w:vertAlign w:val="superscript"/>
          <w:lang w:val="pt-BR"/>
        </w:rPr>
        <w:t>c,</w:t>
      </w:r>
      <w:r w:rsidR="001E1505">
        <w:rPr>
          <w:vertAlign w:val="superscript"/>
          <w:lang w:val="pt-BR"/>
        </w:rPr>
        <w:t>d,</w:t>
      </w:r>
      <w:r w:rsidR="00196B88">
        <w:rPr>
          <w:vertAlign w:val="superscript"/>
          <w:lang w:val="pt-BR"/>
        </w:rPr>
        <w:t>*</w:t>
      </w:r>
    </w:p>
    <w:p w14:paraId="6121BECE" w14:textId="77777777" w:rsidR="009B4970" w:rsidRPr="00196B88" w:rsidRDefault="009B4970" w:rsidP="00B57E6F">
      <w:pPr>
        <w:pStyle w:val="CETAuthors"/>
        <w:rPr>
          <w:lang w:val="pt-BR"/>
        </w:rPr>
      </w:pPr>
    </w:p>
    <w:p w14:paraId="6B2D21B3" w14:textId="0A60AF45" w:rsidR="00B57E6F" w:rsidRPr="00196B88" w:rsidRDefault="00B57E6F" w:rsidP="00B57E6F">
      <w:pPr>
        <w:pStyle w:val="CETAddress"/>
        <w:rPr>
          <w:lang w:val="pt-BR"/>
        </w:rPr>
      </w:pPr>
      <w:r w:rsidRPr="00196B88">
        <w:rPr>
          <w:vertAlign w:val="superscript"/>
          <w:lang w:val="pt-BR"/>
        </w:rPr>
        <w:t>a</w:t>
      </w:r>
      <w:r w:rsidR="002A7C98" w:rsidRPr="00196B88">
        <w:rPr>
          <w:szCs w:val="16"/>
          <w:vertAlign w:val="superscript"/>
          <w:lang w:val="pt-BR"/>
        </w:rPr>
        <w:t xml:space="preserve"> </w:t>
      </w:r>
      <w:r w:rsidR="002A7C98" w:rsidRPr="00196B88">
        <w:rPr>
          <w:szCs w:val="16"/>
          <w:lang w:val="pt-BR"/>
        </w:rPr>
        <w:t>Federal Rural University of Pernambuco</w:t>
      </w:r>
      <w:r w:rsidRPr="00196B88">
        <w:rPr>
          <w:lang w:val="pt-BR"/>
        </w:rPr>
        <w:t xml:space="preserve">, </w:t>
      </w:r>
      <w:r w:rsidR="00196B88" w:rsidRPr="00196B88">
        <w:rPr>
          <w:lang w:val="pt-BR"/>
        </w:rPr>
        <w:t>R. Dom Manoel de Medeiros, s/n, Dois Irmãos, Recife</w:t>
      </w:r>
      <w:r w:rsidR="00196B88">
        <w:rPr>
          <w:lang w:val="pt-BR"/>
        </w:rPr>
        <w:t xml:space="preserve">, Pernambuco </w:t>
      </w:r>
      <w:r w:rsidR="00196B88" w:rsidRPr="00196B88">
        <w:rPr>
          <w:lang w:val="pt-BR"/>
        </w:rPr>
        <w:t>52171-900 </w:t>
      </w:r>
      <w:r w:rsidR="00196B88">
        <w:rPr>
          <w:lang w:val="pt-BR"/>
        </w:rPr>
        <w:t>, Brasil;</w:t>
      </w:r>
    </w:p>
    <w:p w14:paraId="40C863F4" w14:textId="1E5FFB2B" w:rsidR="00196B88" w:rsidRDefault="00B57E6F" w:rsidP="00B57E6F">
      <w:pPr>
        <w:pStyle w:val="CETAddress"/>
        <w:rPr>
          <w:lang w:val="pt-BR"/>
        </w:rPr>
      </w:pPr>
      <w:r w:rsidRPr="00196B88">
        <w:rPr>
          <w:vertAlign w:val="superscript"/>
          <w:lang w:val="en-US"/>
        </w:rPr>
        <w:t>b</w:t>
      </w:r>
      <w:r w:rsidR="00196B88" w:rsidRPr="00196B88">
        <w:rPr>
          <w:lang w:val="en-US"/>
        </w:rPr>
        <w:t xml:space="preserve">Federal University of Pernambuco, </w:t>
      </w:r>
      <w:r w:rsidR="00196B88" w:rsidRPr="00196B88">
        <w:t xml:space="preserve">Av. </w:t>
      </w:r>
      <w:r w:rsidR="00196B88" w:rsidRPr="00196B88">
        <w:rPr>
          <w:lang w:val="pt-BR"/>
        </w:rPr>
        <w:t>Professor Moraes Rego, S/N - Cidade Universitária, Recife</w:t>
      </w:r>
      <w:r w:rsidR="00196B88">
        <w:rPr>
          <w:lang w:val="pt-BR"/>
        </w:rPr>
        <w:t xml:space="preserve">, Pernambuco </w:t>
      </w:r>
      <w:r w:rsidR="00196B88" w:rsidRPr="00196B88">
        <w:rPr>
          <w:lang w:val="pt-BR"/>
        </w:rPr>
        <w:t>50670-420,</w:t>
      </w:r>
      <w:r w:rsidR="00196B88">
        <w:rPr>
          <w:lang w:val="pt-BR"/>
        </w:rPr>
        <w:t xml:space="preserve"> Brasil;</w:t>
      </w:r>
    </w:p>
    <w:p w14:paraId="26047230" w14:textId="49CC53BC" w:rsidR="00196B88" w:rsidRPr="00196B88" w:rsidRDefault="00196B88" w:rsidP="00B57E6F">
      <w:pPr>
        <w:pStyle w:val="CETAddress"/>
        <w:rPr>
          <w:lang w:val="pt-BR"/>
        </w:rPr>
      </w:pPr>
      <w:r w:rsidRPr="00196B88">
        <w:rPr>
          <w:vertAlign w:val="superscript"/>
          <w:lang w:val="pt-BR"/>
        </w:rPr>
        <w:t>c</w:t>
      </w:r>
      <w:r w:rsidRPr="00196B88">
        <w:rPr>
          <w:lang w:val="pt-BR"/>
        </w:rPr>
        <w:t>Instituto Avançado de Tecnologia e Inovação (IATI), Rua Potyra, n. 31, Prado, Recife, Pernambuco 50751-310, Bra</w:t>
      </w:r>
      <w:r>
        <w:rPr>
          <w:lang w:val="pt-BR"/>
        </w:rPr>
        <w:t>s</w:t>
      </w:r>
      <w:r w:rsidRPr="00196B88">
        <w:rPr>
          <w:lang w:val="pt-BR"/>
        </w:rPr>
        <w:t>il;</w:t>
      </w:r>
    </w:p>
    <w:p w14:paraId="7D85A44C" w14:textId="4A566F25" w:rsidR="00196B88" w:rsidRPr="00196B88" w:rsidRDefault="00196B88" w:rsidP="00B57E6F">
      <w:pPr>
        <w:pStyle w:val="CETAddress"/>
        <w:rPr>
          <w:lang w:val="pt-BR"/>
        </w:rPr>
      </w:pPr>
      <w:r w:rsidRPr="00196B88">
        <w:rPr>
          <w:vertAlign w:val="superscript"/>
          <w:lang w:val="pt-BR"/>
        </w:rPr>
        <w:t>d</w:t>
      </w:r>
      <w:r w:rsidRPr="00196B88">
        <w:rPr>
          <w:lang w:val="pt-BR"/>
        </w:rPr>
        <w:t>Universidade Católica de Pernambuco (UNICAP), Rua do Príncipe, n. 526, Boa Vista, Recife, Pernambuco 50050-900, Brasi</w:t>
      </w:r>
      <w:r>
        <w:rPr>
          <w:lang w:val="pt-BR"/>
        </w:rPr>
        <w:t>l</w:t>
      </w:r>
    </w:p>
    <w:p w14:paraId="73F1267A" w14:textId="0ABED8D5" w:rsidR="00B57E6F" w:rsidRPr="00F10067" w:rsidRDefault="00B57E6F" w:rsidP="00B57E6F">
      <w:pPr>
        <w:pStyle w:val="CETemail"/>
        <w:rPr>
          <w:lang w:val="en-US"/>
        </w:rPr>
      </w:pPr>
      <w:r w:rsidRPr="00196B88">
        <w:rPr>
          <w:lang w:val="pt-BR"/>
        </w:rPr>
        <w:t xml:space="preserve"> </w:t>
      </w:r>
      <w:r w:rsidR="00196B88" w:rsidRPr="00F10067">
        <w:rPr>
          <w:lang w:val="en-US"/>
        </w:rPr>
        <w:t>leonie.sarubbo@iati.org.br</w:t>
      </w:r>
    </w:p>
    <w:p w14:paraId="08F9C056" w14:textId="15A58E27" w:rsidR="00F10067" w:rsidRDefault="00F10067" w:rsidP="00F10067">
      <w:pPr>
        <w:pStyle w:val="CETListbullets"/>
        <w:ind w:left="0" w:firstLine="0"/>
      </w:pPr>
      <w:r w:rsidRPr="00F10067">
        <w:t xml:space="preserve">The low biodegradability and environmental impact of petrochemical polymers have motivated the development of sustainable polymeric materials within the circular economy. Bacterial cellulose (BC) is a biodegradable, high-value biopolymer whose production from agro-industrial by-products, such as cheese whey, offers a low-cost and sustainable alternative. This study evaluated the effects of light availability and pH on BC production by a Symbiotic Culture of Bacteria and Yeast (SCOBY) cultivated in a dairy-based medium. Four conditions were investigated: light/pH 5, light/pH 7, absence of light/pH 5, and absence of light/pH 7, under static cultivation at 30 °C for 12 days. BC yield and water retention capacity (WCR) were determined after purification and drying. The highest yields were obtained under light at pH 5 </w:t>
      </w:r>
      <w:r w:rsidR="00426F1F">
        <w:t>(</w:t>
      </w:r>
      <w:r w:rsidR="00426F1F" w:rsidRPr="00A81EDC">
        <w:t xml:space="preserve">7.80 ± 0.68 </w:t>
      </w:r>
      <w:r w:rsidR="00426F1F" w:rsidRPr="00426F1F">
        <w:t>g.L</w:t>
      </w:r>
      <w:r w:rsidR="00426F1F">
        <w:rPr>
          <w:vertAlign w:val="superscript"/>
        </w:rPr>
        <w:t>-1</w:t>
      </w:r>
      <w:r w:rsidR="00426F1F">
        <w:t>)</w:t>
      </w:r>
      <w:r w:rsidR="00426F1F" w:rsidRPr="00F10067">
        <w:t xml:space="preserve"> </w:t>
      </w:r>
      <w:r w:rsidRPr="00F10067">
        <w:t>and in the absence of light at pH 7</w:t>
      </w:r>
      <w:r w:rsidR="00426F1F">
        <w:t xml:space="preserve"> (</w:t>
      </w:r>
      <w:r w:rsidR="00426F1F" w:rsidRPr="005C3D9E">
        <w:t>7,02 ± 1,57</w:t>
      </w:r>
      <w:r w:rsidR="00426F1F">
        <w:t xml:space="preserve"> </w:t>
      </w:r>
      <w:r w:rsidR="00426F1F" w:rsidRPr="00426F1F">
        <w:t>g.L</w:t>
      </w:r>
      <w:r w:rsidR="00426F1F">
        <w:rPr>
          <w:vertAlign w:val="superscript"/>
        </w:rPr>
        <w:t>-1</w:t>
      </w:r>
      <w:r w:rsidR="00426F1F">
        <w:t>)</w:t>
      </w:r>
      <w:r w:rsidRPr="00F10067">
        <w:t>, indicating a complementary interaction between pH and light conditions. All samples exhibited WCR values above 95%</w:t>
      </w:r>
      <w:r w:rsidR="00785D78">
        <w:t xml:space="preserve"> (E1 = </w:t>
      </w:r>
      <w:r w:rsidR="00785D78" w:rsidRPr="005C3D9E">
        <w:t>98,36 ± 0,25</w:t>
      </w:r>
      <w:r w:rsidR="00785D78">
        <w:t xml:space="preserve">; E2 = </w:t>
      </w:r>
      <w:r w:rsidR="00785D78" w:rsidRPr="005C3D9E">
        <w:t>95,13 ± 1,07</w:t>
      </w:r>
      <w:r w:rsidR="00785D78">
        <w:t xml:space="preserve">; E3 = </w:t>
      </w:r>
      <w:r w:rsidR="00785D78" w:rsidRPr="005C3D9E">
        <w:t>96,62 ± 0,15</w:t>
      </w:r>
      <w:r w:rsidR="00785D78">
        <w:t xml:space="preserve">; and E4 = </w:t>
      </w:r>
      <w:r w:rsidR="00785D78" w:rsidRPr="005C3D9E">
        <w:t>97,56 ± 0,36</w:t>
      </w:r>
      <w:r w:rsidR="00785D78">
        <w:t>)</w:t>
      </w:r>
      <w:r w:rsidRPr="00F10067">
        <w:t>, confirming high hydrophilicity and structural integrity. These results demonstrate that pH and light significantly influence BC biosynthesis and highlight the metabolic flexibility of the microbial consortium, contributing to the development of sustainable biotechnological processes for dairy by-product valorization.</w:t>
      </w:r>
    </w:p>
    <w:p w14:paraId="6A09145D" w14:textId="30C81D6B" w:rsidR="00E8398B" w:rsidRPr="00E8398B" w:rsidRDefault="00600535" w:rsidP="00F10067">
      <w:pPr>
        <w:pStyle w:val="CETHeading1"/>
        <w:rPr>
          <w:lang w:val="en-GB"/>
        </w:rPr>
      </w:pPr>
      <w:r w:rsidRPr="00B57B36">
        <w:rPr>
          <w:lang w:val="en-GB"/>
        </w:rPr>
        <w:t>Introduction</w:t>
      </w:r>
    </w:p>
    <w:p w14:paraId="54AEB3B8" w14:textId="470D84AB" w:rsidR="00E8398B" w:rsidRPr="007879C6" w:rsidRDefault="00E8398B" w:rsidP="00F10067">
      <w:pPr>
        <w:pStyle w:val="CETBodytext"/>
      </w:pPr>
      <w:r w:rsidRPr="00E8398B">
        <w:t xml:space="preserve">The widespread application of </w:t>
      </w:r>
      <w:r w:rsidRPr="007879C6">
        <w:t xml:space="preserve">synthetic polymers across multiple industrial sectors has raised increasing environmental and public health concerns (Sudalaimuthu et al., 2025). The earliest artificial polymeric materials were developed in 1840 by Hancock and Rudersdorf through the vulcanization of natural rubber with sulfur, yielding a compound with enhanced elasticity and mechanical strength (Joseph et al., 2023). Since then, continuous technological advances have enabled the incorporation of diverse petrochemical precursors and the refinement of synthesis routes, expanding both the functionality and performance of these materials. However, their high environmental persistence and resistance to degradation promote long-term accumulation in ecosystems, while the release of potentially hazardous substances during production, use, and disposal further exacerbates their adverse impacts (Vanaraj et al., 2025). In this context, sustainable materials derived from renewable resources have gained significant attention, particularly those aligned with the principles of green biotechnology and circular bioeconomy. Among these alternatives, biopolymers stand out as biodegradable macromolecules biosynthesized by living organisms, including plants, animals, fungi, and bacteria, composed of repeating structural units such as sugars, amino acids, and nucleotides </w:t>
      </w:r>
      <w:r w:rsidRPr="007879C6">
        <w:rPr>
          <w:lang w:val="en-GB"/>
        </w:rPr>
        <w:t>(Edo et al., 2025).</w:t>
      </w:r>
    </w:p>
    <w:p w14:paraId="7B53CBC4" w14:textId="523ECC66" w:rsidR="00485590" w:rsidRPr="007879C6" w:rsidRDefault="00485590" w:rsidP="00485590">
      <w:pPr>
        <w:pStyle w:val="CETBodytext"/>
      </w:pPr>
      <w:r w:rsidRPr="007879C6">
        <w:lastRenderedPageBreak/>
        <w:t>Among these biopolymers, bacterial cellulose (BC) has emerged as a promissor material due to its unique physicochemical and structural properties. Unlike plant-derived cellulose, BC is distinguished by its high purity, ultrafine nanofibrillar network, elevated crystallinity, remarkable mechanical strength, and exceptional water-holding capacity (Santos et al., 2024</w:t>
      </w:r>
      <w:r w:rsidR="006E66A8">
        <w:t xml:space="preserve">; </w:t>
      </w:r>
      <w:r w:rsidR="005D7B00" w:rsidRPr="00F00D67">
        <w:t>Nguyen</w:t>
      </w:r>
      <w:r w:rsidR="006E66A8">
        <w:t xml:space="preserve"> et al., 2024</w:t>
      </w:r>
      <w:r w:rsidRPr="007879C6">
        <w:t>). These attributes make BC a versatile platform with potential applications in food packaging, biomedical devices, coatings, and advanced composites, while its biodegradability and biocompatibility further reinforce its relevance as a sustainable alternative to conventional synthetic polymers (Sumini et al., 2025). This substitution becomes even more feasible considering the intrinsic structural versatility of BC, particularly its ability to be converted into nano-scale architectures, such as bacterial cellulose nanofibrils (BCNF) and bacterial cellulose nanocrystals (BCNC). These nanostructures can be obtained through physical, chemical, or mechanical treatments that preserve its inherent properties while tailoring its functionality according to the intended application (Silva et al., 2026).</w:t>
      </w:r>
    </w:p>
    <w:p w14:paraId="4A04B71B" w14:textId="72C905AC" w:rsidR="00F10067" w:rsidRPr="007879C6" w:rsidRDefault="005B3255" w:rsidP="00F10067">
      <w:pPr>
        <w:pStyle w:val="CETBodytext"/>
      </w:pPr>
      <w:r w:rsidRPr="007879C6">
        <w:rPr>
          <w:lang w:val="en-GB"/>
        </w:rPr>
        <w:t xml:space="preserve">The economic feasibility of </w:t>
      </w:r>
      <w:r w:rsidR="003A06C4" w:rsidRPr="007879C6">
        <w:rPr>
          <w:lang w:val="en-GB"/>
        </w:rPr>
        <w:t>BC</w:t>
      </w:r>
      <w:r w:rsidRPr="007879C6">
        <w:rPr>
          <w:lang w:val="en-GB"/>
        </w:rPr>
        <w:t xml:space="preserve"> production remains a critical constraint for large-scale applications, primarily due to the high costs associated with conventional culture media and fermentation infrastructure, thereby driving efforts to explore renewable and low-cost substrates such as coconut water, molasses, cashew juice, vinegar residues, and corn steep liquor </w:t>
      </w:r>
      <w:r w:rsidRPr="007879C6">
        <w:t>(Absharina et al., 2025)</w:t>
      </w:r>
      <w:r w:rsidR="00F10067" w:rsidRPr="007879C6">
        <w:t xml:space="preserve">. </w:t>
      </w:r>
      <w:r w:rsidR="00914A6D" w:rsidRPr="007879C6">
        <w:rPr>
          <w:lang w:val="en-GB"/>
        </w:rPr>
        <w:t xml:space="preserve">Cheese whey has been reported to support bacterial cellulose yields of up to 9.56 </w:t>
      </w:r>
      <w:r w:rsidR="00426F1F" w:rsidRPr="00426F1F">
        <w:t>g.L</w:t>
      </w:r>
      <w:r w:rsidR="00426F1F">
        <w:rPr>
          <w:vertAlign w:val="superscript"/>
        </w:rPr>
        <w:t>-1</w:t>
      </w:r>
      <w:r w:rsidR="00914A6D" w:rsidRPr="007879C6">
        <w:rPr>
          <w:lang w:val="en-GB"/>
        </w:rPr>
        <w:t xml:space="preserve">, demonstrating its suitability as a fermentation substrate due to its high availability and rich nutritional composition, including lactose, proteins, and essential minerals, while simultaneously promoting the valorization of dairy by-products and mitigating the environmental impacts associated with their disposal </w:t>
      </w:r>
      <w:r w:rsidRPr="007879C6">
        <w:t>(Santos et al., 2026)</w:t>
      </w:r>
      <w:r w:rsidR="00F10067" w:rsidRPr="007879C6">
        <w:t xml:space="preserve">. </w:t>
      </w:r>
      <w:r w:rsidR="003A06C4" w:rsidRPr="007879C6">
        <w:t>The use of this dairy substrate directly supports circular bioeconomy strategies, converting waste streams into high-value-added biomaterials.</w:t>
      </w:r>
    </w:p>
    <w:p w14:paraId="4657DBC4" w14:textId="1C922AB8" w:rsidR="009714FF" w:rsidRPr="007879C6" w:rsidRDefault="009714FF" w:rsidP="00F10067">
      <w:pPr>
        <w:pStyle w:val="CETBodytext"/>
      </w:pPr>
      <w:r w:rsidRPr="007879C6">
        <w:rPr>
          <w:lang w:val="en-GB"/>
        </w:rPr>
        <w:t xml:space="preserve">Despite these advantages, the efficiency of BC biosynthesis is strongly influenced by environmental and physicochemical parameters, including pH, temperature, oxygen availability, and light exposure, all of which directly affect microbial metabolism and polymer assembly </w:t>
      </w:r>
      <w:r w:rsidRPr="007879C6">
        <w:t>(Haslan et al., 2025</w:t>
      </w:r>
      <w:r w:rsidR="00D62F02" w:rsidRPr="007879C6">
        <w:t>a</w:t>
      </w:r>
      <w:r w:rsidRPr="007879C6">
        <w:t xml:space="preserve">). </w:t>
      </w:r>
      <w:r w:rsidRPr="007879C6">
        <w:rPr>
          <w:lang w:val="en-GB"/>
        </w:rPr>
        <w:t xml:space="preserve">Although the effects of pH and temperature have been extensively investigated, the role of light in BC production remains comparatively underexplored, particularly in complex microbial consortia such as Symbiotic Cultures of Bacteria and Yeasts (SCOBY) </w:t>
      </w:r>
      <w:r w:rsidRPr="007879C6">
        <w:t xml:space="preserve">(Raghavendran et al., 2020). </w:t>
      </w:r>
      <w:r w:rsidRPr="007879C6">
        <w:rPr>
          <w:lang w:val="en-GB"/>
        </w:rPr>
        <w:t>In this context, the present study evaluates the combined effects of pH and light exposure on bacterial cellulose production from cheese whey using a SCOBY-based system.</w:t>
      </w:r>
    </w:p>
    <w:p w14:paraId="5741900F" w14:textId="1A6FEBB4" w:rsidR="00453E24" w:rsidRPr="007879C6" w:rsidRDefault="00F10067" w:rsidP="00482160">
      <w:pPr>
        <w:pStyle w:val="CETHeading1"/>
        <w:spacing w:line="264" w:lineRule="auto"/>
      </w:pPr>
      <w:r w:rsidRPr="007879C6">
        <w:rPr>
          <w:lang w:val="en-GB"/>
        </w:rPr>
        <w:t>Material and methods</w:t>
      </w:r>
    </w:p>
    <w:p w14:paraId="39968B1B" w14:textId="7896C415" w:rsidR="00836E31" w:rsidRPr="007879C6" w:rsidRDefault="00836E31" w:rsidP="00482160">
      <w:pPr>
        <w:pStyle w:val="CETheadingx"/>
        <w:spacing w:before="0" w:line="264" w:lineRule="auto"/>
        <w:rPr>
          <w:lang w:val="en-GB"/>
        </w:rPr>
      </w:pPr>
      <w:r w:rsidRPr="007879C6">
        <w:rPr>
          <w:lang w:val="en-GB"/>
        </w:rPr>
        <w:t>BC producing microorganism and maintenance media</w:t>
      </w:r>
    </w:p>
    <w:p w14:paraId="38078938" w14:textId="78BEC3D0" w:rsidR="00816AA6" w:rsidRPr="007879C6" w:rsidRDefault="00816AA6" w:rsidP="00816AA6">
      <w:pPr>
        <w:pStyle w:val="CETBodytext"/>
      </w:pPr>
      <w:r w:rsidRPr="007879C6">
        <w:t xml:space="preserve">The SCOBY adapted to a dairy-based medium, cultivated at the </w:t>
      </w:r>
      <w:r w:rsidR="00FC535F" w:rsidRPr="007879C6">
        <w:t xml:space="preserve">Advanced Institute of Technology and Innovation </w:t>
      </w:r>
      <w:r w:rsidRPr="007879C6">
        <w:t>(Recife, Brazil), was used as the inoculum for BC production</w:t>
      </w:r>
      <w:r w:rsidR="00DE4294">
        <w:t xml:space="preserve"> that contains </w:t>
      </w:r>
      <w:r w:rsidR="00DE4294" w:rsidRPr="00DE4294">
        <w:rPr>
          <w:lang w:val="en-GB"/>
        </w:rPr>
        <w:t>dominant bacterial genera, including </w:t>
      </w:r>
      <w:r w:rsidR="00DE4294" w:rsidRPr="00DE4294">
        <w:rPr>
          <w:i/>
          <w:iCs/>
          <w:lang w:val="en-GB"/>
        </w:rPr>
        <w:t>Komagataeibacter</w:t>
      </w:r>
      <w:r w:rsidR="00DE4294" w:rsidRPr="00DE4294">
        <w:rPr>
          <w:lang w:val="en-GB"/>
        </w:rPr>
        <w:t>, </w:t>
      </w:r>
      <w:r w:rsidR="00DE4294" w:rsidRPr="00DE4294">
        <w:rPr>
          <w:i/>
          <w:iCs/>
          <w:lang w:val="en-GB"/>
        </w:rPr>
        <w:t>Gluconobacter</w:t>
      </w:r>
      <w:r w:rsidR="00DE4294" w:rsidRPr="00DE4294">
        <w:rPr>
          <w:lang w:val="en-GB"/>
        </w:rPr>
        <w:t>, </w:t>
      </w:r>
      <w:r w:rsidR="00DE4294" w:rsidRPr="00DE4294">
        <w:rPr>
          <w:i/>
          <w:iCs/>
          <w:lang w:val="en-GB"/>
        </w:rPr>
        <w:t>Lactobacillus</w:t>
      </w:r>
      <w:r w:rsidR="00DE4294" w:rsidRPr="00DE4294">
        <w:rPr>
          <w:lang w:val="en-GB"/>
        </w:rPr>
        <w:t>, and </w:t>
      </w:r>
      <w:r w:rsidR="00DE4294" w:rsidRPr="00DE4294">
        <w:rPr>
          <w:i/>
          <w:iCs/>
          <w:lang w:val="en-GB"/>
        </w:rPr>
        <w:t>Pediococcus</w:t>
      </w:r>
      <w:r w:rsidR="00DE4294" w:rsidRPr="00DE4294">
        <w:rPr>
          <w:lang w:val="en-GB"/>
        </w:rPr>
        <w:t>, as well as yeasts such as </w:t>
      </w:r>
      <w:r w:rsidR="00DE4294" w:rsidRPr="00DE4294">
        <w:rPr>
          <w:i/>
          <w:iCs/>
          <w:lang w:val="en-GB"/>
        </w:rPr>
        <w:t>Saccharomyces</w:t>
      </w:r>
      <w:r w:rsidR="00DE4294" w:rsidRPr="00DE4294">
        <w:rPr>
          <w:lang w:val="en-GB"/>
        </w:rPr>
        <w:t> and </w:t>
      </w:r>
      <w:r w:rsidR="00DE4294" w:rsidRPr="00DE4294">
        <w:rPr>
          <w:i/>
          <w:iCs/>
          <w:lang w:val="en-GB"/>
        </w:rPr>
        <w:t>Zygosaccharomyces</w:t>
      </w:r>
      <w:r w:rsidRPr="007879C6">
        <w:t xml:space="preserve"> (Santos et al., 2026). </w:t>
      </w:r>
      <w:r w:rsidRPr="007879C6">
        <w:rPr>
          <w:lang w:val="en-GB"/>
        </w:rPr>
        <w:t>The cheese whey employed in the fermentations was supplied by Campo da Serra (Pombos, Brazil), and the sucrose used as a carbon source was obtained from Merck.</w:t>
      </w:r>
    </w:p>
    <w:p w14:paraId="14194BF8" w14:textId="77777777" w:rsidR="00836E31" w:rsidRPr="007879C6" w:rsidRDefault="00836E31" w:rsidP="00816AA6">
      <w:pPr>
        <w:pStyle w:val="CETBodytext"/>
      </w:pPr>
    </w:p>
    <w:p w14:paraId="4E9EC3D0" w14:textId="23873795" w:rsidR="00836E31" w:rsidRPr="007879C6" w:rsidRDefault="00836E31" w:rsidP="00482160">
      <w:pPr>
        <w:pStyle w:val="CETBodytext"/>
        <w:spacing w:after="120"/>
        <w:rPr>
          <w:b/>
          <w:bCs/>
          <w:lang w:val="en-GB"/>
        </w:rPr>
      </w:pPr>
      <w:r w:rsidRPr="007879C6">
        <w:rPr>
          <w:b/>
          <w:bCs/>
        </w:rPr>
        <w:t xml:space="preserve">2.2 </w:t>
      </w:r>
      <w:r w:rsidRPr="007879C6">
        <w:rPr>
          <w:b/>
          <w:bCs/>
          <w:lang w:val="en-GB"/>
        </w:rPr>
        <w:t xml:space="preserve">Production and Yield of BC Using Cheese Whey </w:t>
      </w:r>
    </w:p>
    <w:p w14:paraId="635E8125" w14:textId="4336425C" w:rsidR="00FC535F" w:rsidRPr="007879C6" w:rsidRDefault="00FC535F" w:rsidP="00FC535F">
      <w:pPr>
        <w:widowControl w:val="0"/>
        <w:tabs>
          <w:tab w:val="left" w:pos="9356"/>
        </w:tabs>
        <w:ind w:right="-2"/>
        <w:rPr>
          <w:lang w:val="en-US"/>
        </w:rPr>
      </w:pPr>
      <w:r w:rsidRPr="007879C6">
        <w:rPr>
          <w:lang w:val="en-US"/>
        </w:rPr>
        <w:t xml:space="preserve">A </w:t>
      </w:r>
      <w:r w:rsidR="00947501">
        <w:rPr>
          <w:lang w:val="en-US"/>
        </w:rPr>
        <w:t>0,02</w:t>
      </w:r>
      <w:r w:rsidRPr="007879C6">
        <w:rPr>
          <w:lang w:val="en-US"/>
        </w:rPr>
        <w:t xml:space="preserve"> L aliquot of the consortium was inoculated into </w:t>
      </w:r>
      <w:r w:rsidR="00947501">
        <w:rPr>
          <w:lang w:val="en-US"/>
        </w:rPr>
        <w:t>0,1</w:t>
      </w:r>
      <w:r w:rsidRPr="007879C6">
        <w:rPr>
          <w:lang w:val="en-US"/>
        </w:rPr>
        <w:t xml:space="preserve"> L of cheese whey </w:t>
      </w:r>
      <w:r w:rsidR="00947501">
        <w:rPr>
          <w:lang w:val="en-US"/>
        </w:rPr>
        <w:t xml:space="preserve">(0,12 L = final volume) </w:t>
      </w:r>
      <w:r w:rsidRPr="007879C6">
        <w:rPr>
          <w:lang w:val="en-US"/>
        </w:rPr>
        <w:t>supplemented with sucrose (50 g L</w:t>
      </w:r>
      <w:r w:rsidRPr="007879C6">
        <w:rPr>
          <w:rFonts w:ascii="Cambria Math" w:hAnsi="Cambria Math" w:cs="Cambria Math"/>
          <w:lang w:val="en-US"/>
        </w:rPr>
        <w:t>⁻</w:t>
      </w:r>
      <w:r w:rsidRPr="007879C6">
        <w:rPr>
          <w:rFonts w:cs="Arial"/>
          <w:lang w:val="en-US"/>
        </w:rPr>
        <w:t>¹</w:t>
      </w:r>
      <w:r w:rsidRPr="007879C6">
        <w:rPr>
          <w:lang w:val="en-US"/>
        </w:rPr>
        <w:t xml:space="preserve">) in 250 mL Erlenmeyer flasks. Four experimental conditions were established: absence of light at pH 5 (E1), absence of light at pH 7 (E2), light exposure at pH 5 (E3), and light exposure at pH 7 (E4). Static cultivation was carried out at 30 </w:t>
      </w:r>
      <w:r w:rsidRPr="007879C6">
        <w:rPr>
          <w:rFonts w:cs="Arial"/>
          <w:lang w:val="en-US"/>
        </w:rPr>
        <w:t>°</w:t>
      </w:r>
      <w:r w:rsidRPr="007879C6">
        <w:rPr>
          <w:lang w:val="en-US"/>
        </w:rPr>
        <w:t>C for 12 days, with all experiments performed in triplicate.</w:t>
      </w:r>
      <w:r w:rsidR="00452582" w:rsidRPr="007879C6">
        <w:rPr>
          <w:lang w:val="en-US"/>
        </w:rPr>
        <w:t xml:space="preserve"> In experiments with light exposure, LED strips</w:t>
      </w:r>
      <w:r w:rsidR="00CF737B">
        <w:rPr>
          <w:lang w:val="en-US"/>
        </w:rPr>
        <w:t xml:space="preserve"> (2835 </w:t>
      </w:r>
      <w:r w:rsidR="004547A7">
        <w:rPr>
          <w:lang w:val="en-US"/>
        </w:rPr>
        <w:t xml:space="preserve">- </w:t>
      </w:r>
      <w:r w:rsidR="00CF737B">
        <w:rPr>
          <w:lang w:val="en-US"/>
        </w:rPr>
        <w:t xml:space="preserve">cold white/ 120 LED/m) with 3000 lm </w:t>
      </w:r>
      <w:r w:rsidR="002275F6">
        <w:rPr>
          <w:lang w:val="en-US"/>
        </w:rPr>
        <w:t xml:space="preserve">total luminous flux </w:t>
      </w:r>
      <w:r w:rsidR="00452582" w:rsidRPr="007879C6">
        <w:rPr>
          <w:lang w:val="en-US"/>
        </w:rPr>
        <w:t>were used, glued to the inside of an incubator (Lee et al., 2018).</w:t>
      </w:r>
    </w:p>
    <w:p w14:paraId="3B8D43B4" w14:textId="463D2B62" w:rsidR="00FC535F" w:rsidRPr="00FC535F" w:rsidRDefault="00FC535F" w:rsidP="00FC535F">
      <w:pPr>
        <w:widowControl w:val="0"/>
        <w:tabs>
          <w:tab w:val="left" w:pos="9356"/>
        </w:tabs>
        <w:ind w:right="-2"/>
        <w:rPr>
          <w:lang w:val="en-US"/>
        </w:rPr>
      </w:pPr>
      <w:r w:rsidRPr="007879C6">
        <w:rPr>
          <w:lang w:val="en-US"/>
        </w:rPr>
        <w:t>After incubation, the BC pellicles were thoroughly rinsed under running water and subsequently</w:t>
      </w:r>
      <w:r w:rsidRPr="00FC535F">
        <w:rPr>
          <w:lang w:val="en-US"/>
        </w:rPr>
        <w:t xml:space="preserve"> purified by autoclaving at 120 °C for 15 min. The purified samples were dried in a forced-air oven at 30 °C for 18 h and weighed to determine the dry mass yield,</w:t>
      </w:r>
      <w:r w:rsidR="003E29B0">
        <w:rPr>
          <w:lang w:val="en-US"/>
        </w:rPr>
        <w:t xml:space="preserve"> </w:t>
      </w:r>
      <w:r w:rsidR="003E29B0" w:rsidRPr="003E29B0">
        <w:t>was determined as the dry mass of BC produced per liter of fermented broth</w:t>
      </w:r>
      <w:r w:rsidR="003E29B0">
        <w:t>,</w:t>
      </w:r>
      <w:r w:rsidRPr="00FC535F">
        <w:rPr>
          <w:lang w:val="en-US"/>
        </w:rPr>
        <w:t xml:space="preserve"> expressed in g</w:t>
      </w:r>
      <w:r>
        <w:rPr>
          <w:lang w:val="en-US"/>
        </w:rPr>
        <w:t>.</w:t>
      </w:r>
      <w:r w:rsidRPr="00FC535F">
        <w:rPr>
          <w:lang w:val="en-US"/>
        </w:rPr>
        <w:t>L</w:t>
      </w:r>
      <w:r w:rsidRPr="00FC535F">
        <w:rPr>
          <w:rFonts w:ascii="Cambria Math" w:hAnsi="Cambria Math" w:cs="Cambria Math"/>
          <w:lang w:val="en-US"/>
        </w:rPr>
        <w:t>⁻</w:t>
      </w:r>
      <w:r w:rsidRPr="00FC535F">
        <w:rPr>
          <w:rFonts w:cs="Arial"/>
          <w:lang w:val="en-US"/>
        </w:rPr>
        <w:t>¹</w:t>
      </w:r>
      <w:r w:rsidRPr="00FC535F">
        <w:rPr>
          <w:lang w:val="en-US"/>
        </w:rPr>
        <w:t xml:space="preserve"> (Eq. 1)</w:t>
      </w:r>
      <w:r w:rsidR="00426F1F">
        <w:rPr>
          <w:lang w:val="en-US"/>
        </w:rPr>
        <w:t xml:space="preserve"> (Santos et al., 2026)</w:t>
      </w:r>
      <w:r w:rsidRPr="00FC535F">
        <w:rPr>
          <w:lang w:val="en-US"/>
        </w:rPr>
        <w:t>.</w:t>
      </w:r>
    </w:p>
    <w:p w14:paraId="267972A4" w14:textId="77777777" w:rsidR="00816AA6" w:rsidRPr="00FC535F" w:rsidRDefault="00816AA6" w:rsidP="00816AA6">
      <w:pPr>
        <w:widowControl w:val="0"/>
        <w:tabs>
          <w:tab w:val="left" w:pos="9356"/>
        </w:tabs>
        <w:ind w:right="-2"/>
        <w:rPr>
          <w:lang w:val="en-US"/>
        </w:rPr>
      </w:pPr>
    </w:p>
    <w:tbl>
      <w:tblPr>
        <w:tblW w:w="5000" w:type="pct"/>
        <w:tblLook w:val="04A0" w:firstRow="1" w:lastRow="0" w:firstColumn="1" w:lastColumn="0" w:noHBand="0" w:noVBand="1"/>
      </w:tblPr>
      <w:tblGrid>
        <w:gridCol w:w="7986"/>
        <w:gridCol w:w="801"/>
      </w:tblGrid>
      <w:tr w:rsidR="00816AA6" w:rsidRPr="00B57B36" w14:paraId="750B1529" w14:textId="77777777" w:rsidTr="00816AA6">
        <w:tc>
          <w:tcPr>
            <w:tcW w:w="8188" w:type="dxa"/>
            <w:vAlign w:val="center"/>
          </w:tcPr>
          <w:p w14:paraId="34FC2DBE" w14:textId="7F1B37B6" w:rsidR="00816AA6" w:rsidRPr="00816AA6" w:rsidRDefault="00816AA6" w:rsidP="00816AA6">
            <w:pPr>
              <w:pStyle w:val="CETEquation"/>
            </w:pPr>
            <m:oMathPara>
              <m:oMathParaPr>
                <m:jc m:val="left"/>
              </m:oMathParaPr>
              <m:oMath>
                <m:r>
                  <w:rPr>
                    <w:rFonts w:ascii="Cambria Math" w:eastAsia="Cambria Math" w:hAnsi="Cambria Math" w:cs="Cambria Math"/>
                  </w:rPr>
                  <m:t>Yield (g.</m:t>
                </m:r>
                <m:sSup>
                  <m:sSupPr>
                    <m:ctrlPr>
                      <w:rPr>
                        <w:rFonts w:ascii="Cambria Math" w:hAnsi="Cambria Math" w:cs="Cambria Math"/>
                        <w:lang w:val="en-US"/>
                      </w:rPr>
                    </m:ctrlPr>
                  </m:sSupPr>
                  <m:e>
                    <m:r>
                      <w:rPr>
                        <w:rFonts w:ascii="Cambria Math" w:eastAsia="Cambria Math" w:hAnsi="Cambria Math" w:cs="Cambria Math"/>
                      </w:rPr>
                      <m:t>L</m:t>
                    </m:r>
                    <m:ctrlPr>
                      <w:rPr>
                        <w:rFonts w:ascii="Cambria Math" w:eastAsia="Cambria Math" w:hAnsi="Cambria Math" w:cs="Cambria Math"/>
                        <w:i/>
                      </w:rPr>
                    </m:ctrlPr>
                  </m:e>
                  <m:sup>
                    <m:r>
                      <m:rPr>
                        <m:sty m:val="p"/>
                      </m:rPr>
                      <w:rPr>
                        <w:rFonts w:ascii="Cambria Math" w:hAnsi="Cambria Math" w:cs="Cambria Math"/>
                        <w:lang w:val="en-US"/>
                      </w:rPr>
                      <m:t>-</m:t>
                    </m:r>
                    <m:r>
                      <m:rPr>
                        <m:sty m:val="p"/>
                      </m:rPr>
                      <w:rPr>
                        <w:rFonts w:ascii="Cambria Math" w:hAnsi="Cambria Math" w:cs="Arial"/>
                        <w:lang w:val="en-US"/>
                      </w:rPr>
                      <m:t>1</m:t>
                    </m:r>
                  </m:sup>
                </m:sSup>
                <m:r>
                  <m:rPr>
                    <m:sty m:val="p"/>
                  </m:rPr>
                  <w:rPr>
                    <w:rFonts w:ascii="Cambria Math" w:hAnsi="Cambria Math" w:cs="Arial"/>
                    <w:lang w:val="en-US"/>
                  </w:rPr>
                  <m:t>)</m:t>
                </m:r>
                <m:r>
                  <w:rPr>
                    <w:rFonts w:ascii="Cambria Math" w:eastAsia="Cambria Math" w:hAnsi="Cambria Math" w:cs="Cambria Math"/>
                    <w:lang w:val="pt-BR"/>
                  </w:rPr>
                  <m:t>=</m:t>
                </m:r>
                <m:f>
                  <m:fPr>
                    <m:ctrlPr>
                      <w:rPr>
                        <w:rFonts w:ascii="Cambria Math" w:eastAsia="Cambria Math" w:hAnsi="Cambria Math" w:cs="Cambria Math"/>
                      </w:rPr>
                    </m:ctrlPr>
                  </m:fPr>
                  <m:num>
                    <m:r>
                      <w:rPr>
                        <w:rFonts w:ascii="Cambria Math" w:eastAsia="Cambria Math" w:hAnsi="Cambria Math" w:cs="Cambria Math"/>
                      </w:rPr>
                      <m:t>Dry membrane mass</m:t>
                    </m:r>
                    <m:r>
                      <w:rPr>
                        <w:rFonts w:ascii="Cambria Math" w:eastAsia="Cambria Math" w:hAnsi="Cambria Math" w:cs="Cambria Math"/>
                        <w:lang w:val="pt-BR"/>
                      </w:rPr>
                      <m:t xml:space="preserve"> (</m:t>
                    </m:r>
                    <m:r>
                      <w:rPr>
                        <w:rFonts w:ascii="Cambria Math" w:eastAsia="Cambria Math" w:hAnsi="Cambria Math" w:cs="Cambria Math"/>
                      </w:rPr>
                      <m:t>g</m:t>
                    </m:r>
                    <m:r>
                      <w:rPr>
                        <w:rFonts w:ascii="Cambria Math" w:eastAsia="Cambria Math" w:hAnsi="Cambria Math" w:cs="Cambria Math"/>
                        <w:lang w:val="pt-BR"/>
                      </w:rPr>
                      <m:t>)</m:t>
                    </m:r>
                  </m:num>
                  <m:den>
                    <m:r>
                      <w:rPr>
                        <w:rFonts w:ascii="Cambria Math" w:eastAsia="Cambria Math" w:hAnsi="Cambria Math" w:cs="Cambria Math"/>
                      </w:rPr>
                      <m:t>Culture medium volume</m:t>
                    </m:r>
                    <m:r>
                      <w:rPr>
                        <w:rFonts w:ascii="Cambria Math" w:eastAsia="Cambria Math" w:hAnsi="Cambria Math" w:cs="Cambria Math"/>
                        <w:lang w:val="pt-BR"/>
                      </w:rPr>
                      <m:t xml:space="preserve"> (</m:t>
                    </m:r>
                    <m:r>
                      <w:rPr>
                        <w:rFonts w:ascii="Cambria Math" w:eastAsia="Cambria Math" w:hAnsi="Cambria Math" w:cs="Cambria Math"/>
                      </w:rPr>
                      <m:t>L</m:t>
                    </m:r>
                    <m:r>
                      <w:rPr>
                        <w:rFonts w:ascii="Cambria Math" w:eastAsia="Cambria Math" w:hAnsi="Cambria Math" w:cs="Cambria Math"/>
                        <w:lang w:val="pt-BR"/>
                      </w:rPr>
                      <m:t>)</m:t>
                    </m:r>
                  </m:den>
                </m:f>
              </m:oMath>
            </m:oMathPara>
          </w:p>
        </w:tc>
        <w:tc>
          <w:tcPr>
            <w:tcW w:w="815" w:type="dxa"/>
            <w:vAlign w:val="center"/>
          </w:tcPr>
          <w:p w14:paraId="4973A844" w14:textId="77777777" w:rsidR="00816AA6" w:rsidRPr="00B57B36" w:rsidRDefault="00816AA6">
            <w:pPr>
              <w:pStyle w:val="CETEquation"/>
              <w:jc w:val="right"/>
            </w:pPr>
            <w:r w:rsidRPr="00B57B36">
              <w:t>(1)</w:t>
            </w:r>
          </w:p>
        </w:tc>
      </w:tr>
    </w:tbl>
    <w:p w14:paraId="717F2004" w14:textId="77777777" w:rsidR="00816AA6" w:rsidRDefault="00816AA6" w:rsidP="00816AA6">
      <w:pPr>
        <w:widowControl w:val="0"/>
        <w:tabs>
          <w:tab w:val="left" w:pos="9356"/>
        </w:tabs>
        <w:ind w:right="-2"/>
        <w:rPr>
          <w:lang w:val="pt-BR"/>
        </w:rPr>
      </w:pPr>
    </w:p>
    <w:p w14:paraId="474CE8BA" w14:textId="2CD7DA2E" w:rsidR="00836E31" w:rsidRPr="00836E31" w:rsidRDefault="00836E31" w:rsidP="00482160">
      <w:pPr>
        <w:pStyle w:val="CETBodytext"/>
        <w:rPr>
          <w:b/>
          <w:bCs/>
          <w:lang w:val="en-GB"/>
        </w:rPr>
      </w:pPr>
      <w:r>
        <w:rPr>
          <w:b/>
          <w:bCs/>
          <w:lang w:val="en-GB"/>
        </w:rPr>
        <w:t xml:space="preserve">2.3 </w:t>
      </w:r>
      <w:r w:rsidRPr="00836E31">
        <w:rPr>
          <w:b/>
          <w:bCs/>
          <w:lang w:val="en-GB"/>
        </w:rPr>
        <w:t xml:space="preserve">Water </w:t>
      </w:r>
      <w:r w:rsidR="00CC4923">
        <w:rPr>
          <w:b/>
          <w:bCs/>
          <w:lang w:val="en-GB"/>
        </w:rPr>
        <w:t>C</w:t>
      </w:r>
      <w:r w:rsidRPr="00836E31">
        <w:rPr>
          <w:b/>
          <w:bCs/>
          <w:lang w:val="en-GB"/>
        </w:rPr>
        <w:t>apacity</w:t>
      </w:r>
      <w:r w:rsidR="00CC4923">
        <w:rPr>
          <w:b/>
          <w:bCs/>
          <w:lang w:val="en-GB"/>
        </w:rPr>
        <w:t xml:space="preserve"> Retention</w:t>
      </w:r>
      <w:r w:rsidRPr="00836E31">
        <w:rPr>
          <w:b/>
          <w:bCs/>
          <w:lang w:val="en-GB"/>
        </w:rPr>
        <w:t xml:space="preserve"> (WC</w:t>
      </w:r>
      <w:r w:rsidR="00CC4923">
        <w:rPr>
          <w:b/>
          <w:bCs/>
          <w:lang w:val="en-GB"/>
        </w:rPr>
        <w:t>R</w:t>
      </w:r>
      <w:r w:rsidRPr="00836E31">
        <w:rPr>
          <w:b/>
          <w:bCs/>
          <w:lang w:val="en-GB"/>
        </w:rPr>
        <w:t>)</w:t>
      </w:r>
    </w:p>
    <w:p w14:paraId="2A85E351" w14:textId="08C40E37" w:rsidR="004F63C2" w:rsidRDefault="004F63C2" w:rsidP="00482160">
      <w:pPr>
        <w:pStyle w:val="CETBodytext"/>
        <w:rPr>
          <w:lang w:val="en-GB"/>
        </w:rPr>
      </w:pPr>
      <w:r w:rsidRPr="00426F1F">
        <w:t xml:space="preserve">The </w:t>
      </w:r>
      <w:r w:rsidR="00B30BAB">
        <w:t>WCR</w:t>
      </w:r>
      <w:r w:rsidRPr="00426F1F">
        <w:t xml:space="preserve"> of the BC membranes was calculated based on the difference between their wet and dry masses, using </w:t>
      </w:r>
      <w:r w:rsidR="003E29B0" w:rsidRPr="00426F1F">
        <w:t>equation</w:t>
      </w:r>
      <w:r w:rsidRPr="00426F1F">
        <w:t xml:space="preserve"> 2</w:t>
      </w:r>
      <w:r w:rsidRPr="004F63C2">
        <w:rPr>
          <w:lang w:val="en-GB"/>
        </w:rPr>
        <w:t>.</w:t>
      </w:r>
    </w:p>
    <w:p w14:paraId="7CDA4487" w14:textId="77777777" w:rsidR="003D41FF" w:rsidRDefault="003D41FF" w:rsidP="00482160">
      <w:pPr>
        <w:pStyle w:val="CETBodytext"/>
        <w:rPr>
          <w:lang w:val="en-GB"/>
        </w:rPr>
      </w:pPr>
    </w:p>
    <w:tbl>
      <w:tblPr>
        <w:tblW w:w="5000" w:type="pct"/>
        <w:tblLook w:val="04A0" w:firstRow="1" w:lastRow="0" w:firstColumn="1" w:lastColumn="0" w:noHBand="0" w:noVBand="1"/>
      </w:tblPr>
      <w:tblGrid>
        <w:gridCol w:w="7986"/>
        <w:gridCol w:w="801"/>
      </w:tblGrid>
      <w:tr w:rsidR="00537489" w:rsidRPr="00B57B36" w14:paraId="722112F9" w14:textId="77777777">
        <w:tc>
          <w:tcPr>
            <w:tcW w:w="8188" w:type="dxa"/>
            <w:vAlign w:val="center"/>
          </w:tcPr>
          <w:p w14:paraId="7A44D2CD" w14:textId="251D75A2" w:rsidR="00537489" w:rsidRPr="00816AA6" w:rsidRDefault="00537489">
            <w:pPr>
              <w:pStyle w:val="CETEquation"/>
            </w:pPr>
            <m:oMathPara>
              <m:oMathParaPr>
                <m:jc m:val="left"/>
              </m:oMathParaPr>
              <m:oMath>
                <m:r>
                  <w:rPr>
                    <w:rFonts w:ascii="Cambria Math" w:eastAsia="Cambria Math" w:hAnsi="Cambria Math" w:cs="Cambria Math"/>
                  </w:rPr>
                  <w:lastRenderedPageBreak/>
                  <m:t xml:space="preserve">WCR </m:t>
                </m:r>
                <m:d>
                  <m:dPr>
                    <m:ctrlPr>
                      <w:rPr>
                        <w:rFonts w:ascii="Cambria Math" w:eastAsia="Cambria Math" w:hAnsi="Cambria Math" w:cs="Cambria Math"/>
                        <w:i/>
                      </w:rPr>
                    </m:ctrlPr>
                  </m:dPr>
                  <m:e>
                    <m:r>
                      <w:rPr>
                        <w:rFonts w:ascii="Cambria Math" w:eastAsia="Cambria Math" w:hAnsi="Cambria Math" w:cs="Cambria Math"/>
                      </w:rPr>
                      <m:t>%</m:t>
                    </m:r>
                    <m:ctrlPr>
                      <w:rPr>
                        <w:rFonts w:ascii="Cambria Math" w:hAnsi="Cambria Math" w:cs="Arial"/>
                        <w:lang w:val="en-US"/>
                      </w:rPr>
                    </m:ctrlPr>
                  </m:e>
                </m:d>
                <m:r>
                  <w:rPr>
                    <w:rFonts w:ascii="Cambria Math" w:eastAsia="Cambria Math" w:hAnsi="Cambria Math" w:cs="Cambria Math"/>
                    <w:lang w:val="pt-BR"/>
                  </w:rPr>
                  <m:t>=</m:t>
                </m:r>
                <m:f>
                  <m:fPr>
                    <m:ctrlPr>
                      <w:rPr>
                        <w:rFonts w:ascii="Cambria Math" w:eastAsia="Cambria Math" w:hAnsi="Cambria Math" w:cs="Cambria Math"/>
                      </w:rPr>
                    </m:ctrlPr>
                  </m:fPr>
                  <m:num>
                    <m:r>
                      <w:rPr>
                        <w:rFonts w:ascii="Cambria Math" w:eastAsia="Cambria Math" w:hAnsi="Cambria Math" w:cs="Cambria Math"/>
                      </w:rPr>
                      <m:t xml:space="preserve">wet mass </m:t>
                    </m:r>
                    <m:d>
                      <m:dPr>
                        <m:ctrlPr>
                          <w:rPr>
                            <w:rFonts w:ascii="Cambria Math" w:eastAsia="Cambria Math" w:hAnsi="Cambria Math" w:cs="Cambria Math"/>
                            <w:i/>
                          </w:rPr>
                        </m:ctrlPr>
                      </m:dPr>
                      <m:e>
                        <m:r>
                          <w:rPr>
                            <w:rFonts w:ascii="Cambria Math" w:eastAsia="Cambria Math" w:hAnsi="Cambria Math" w:cs="Cambria Math"/>
                          </w:rPr>
                          <m:t>g</m:t>
                        </m:r>
                      </m:e>
                    </m:d>
                    <m:r>
                      <w:rPr>
                        <w:rFonts w:ascii="Cambria Math" w:eastAsia="Cambria Math" w:hAnsi="Cambria Math" w:cs="Cambria Math"/>
                      </w:rPr>
                      <m:t>-dry mass</m:t>
                    </m:r>
                    <m:d>
                      <m:dPr>
                        <m:ctrlPr>
                          <w:rPr>
                            <w:rFonts w:ascii="Cambria Math" w:eastAsia="Cambria Math" w:hAnsi="Cambria Math" w:cs="Cambria Math"/>
                            <w:i/>
                          </w:rPr>
                        </m:ctrlPr>
                      </m:dPr>
                      <m:e>
                        <m:r>
                          <w:rPr>
                            <w:rFonts w:ascii="Cambria Math" w:eastAsia="Cambria Math" w:hAnsi="Cambria Math" w:cs="Cambria Math"/>
                          </w:rPr>
                          <m:t>g</m:t>
                        </m:r>
                      </m:e>
                    </m:d>
                  </m:num>
                  <m:den>
                    <m:r>
                      <w:rPr>
                        <w:rFonts w:ascii="Cambria Math" w:eastAsia="Cambria Math" w:hAnsi="Cambria Math" w:cs="Cambria Math"/>
                      </w:rPr>
                      <m:t xml:space="preserve">wet mass </m:t>
                    </m:r>
                    <m:d>
                      <m:dPr>
                        <m:ctrlPr>
                          <w:rPr>
                            <w:rFonts w:ascii="Cambria Math" w:eastAsia="Cambria Math" w:hAnsi="Cambria Math" w:cs="Cambria Math"/>
                            <w:i/>
                          </w:rPr>
                        </m:ctrlPr>
                      </m:dPr>
                      <m:e>
                        <m:r>
                          <w:rPr>
                            <w:rFonts w:ascii="Cambria Math" w:eastAsia="Cambria Math" w:hAnsi="Cambria Math" w:cs="Cambria Math"/>
                          </w:rPr>
                          <m:t>g</m:t>
                        </m:r>
                      </m:e>
                    </m:d>
                  </m:den>
                </m:f>
                <m:r>
                  <w:rPr>
                    <w:rFonts w:ascii="Cambria Math" w:eastAsia="Cambria Math" w:hAnsi="Cambria Math" w:cs="Cambria Math"/>
                  </w:rPr>
                  <m:t>×100</m:t>
                </m:r>
              </m:oMath>
            </m:oMathPara>
          </w:p>
        </w:tc>
        <w:tc>
          <w:tcPr>
            <w:tcW w:w="815" w:type="dxa"/>
            <w:vAlign w:val="center"/>
          </w:tcPr>
          <w:p w14:paraId="3D57F364" w14:textId="6909F1A7" w:rsidR="00537489" w:rsidRPr="00B57B36" w:rsidRDefault="00537489">
            <w:pPr>
              <w:pStyle w:val="CETEquation"/>
              <w:jc w:val="right"/>
            </w:pPr>
            <w:r w:rsidRPr="00B57B36">
              <w:t>(</w:t>
            </w:r>
            <w:r>
              <w:t>2</w:t>
            </w:r>
            <w:r w:rsidRPr="00B57B36">
              <w:t>)</w:t>
            </w:r>
          </w:p>
        </w:tc>
      </w:tr>
    </w:tbl>
    <w:p w14:paraId="7E54B8DC" w14:textId="77777777" w:rsidR="00836E31" w:rsidRDefault="00836E31" w:rsidP="00453E24">
      <w:pPr>
        <w:pStyle w:val="CETBodytext"/>
        <w:rPr>
          <w:lang w:val="en-GB"/>
        </w:rPr>
      </w:pPr>
    </w:p>
    <w:p w14:paraId="677EBFF0" w14:textId="0F2D0996" w:rsidR="00600535" w:rsidRPr="00B57B36" w:rsidRDefault="00836E31" w:rsidP="00600535">
      <w:pPr>
        <w:pStyle w:val="CETHeading1"/>
        <w:tabs>
          <w:tab w:val="clear" w:pos="360"/>
          <w:tab w:val="right" w:pos="7100"/>
        </w:tabs>
        <w:jc w:val="both"/>
        <w:rPr>
          <w:lang w:val="en-GB"/>
        </w:rPr>
      </w:pPr>
      <w:r w:rsidRPr="00836E31">
        <w:rPr>
          <w:lang w:val="en-GB"/>
        </w:rPr>
        <w:t>Results and discussion</w:t>
      </w:r>
    </w:p>
    <w:p w14:paraId="335FFD4A" w14:textId="2891C438" w:rsidR="00A81EDC" w:rsidRPr="00426F1F" w:rsidRDefault="00A81EDC" w:rsidP="00635A28">
      <w:pPr>
        <w:pStyle w:val="PargrafodaLista"/>
        <w:tabs>
          <w:tab w:val="left" w:pos="1204"/>
        </w:tabs>
        <w:ind w:left="0"/>
        <w:rPr>
          <w:lang w:val="en-US"/>
        </w:rPr>
      </w:pPr>
      <w:r w:rsidRPr="00A81EDC">
        <w:t>The dairy by-product proved to be a suitable substrate for biopolymer production under all evaluated conditions, supporting the findings reported by Santos et al. (2026) and Płoska et al. (2025). However, statistical analysis demonstrated that both pH and light availability influenced material synthesis and that their effects were interdependent. No significant main effect was observed for pH (p = 0.420), and a borderline effect was detected for light exposure (p = 0.050). In contrast, a highly significant interaction between the factors was identified (Light × pH; F = 26.205; p &lt; 0.001). These results indicate that the impact of light exposure is contingent upon the medium pH, and reciprocally, characterizing a cross-interaction between the experimental variables. Mass and yield data are presented in Table 1.</w:t>
      </w:r>
    </w:p>
    <w:p w14:paraId="03F8C488" w14:textId="77777777" w:rsidR="00452582" w:rsidRPr="00426F1F" w:rsidRDefault="00452582" w:rsidP="00635A28">
      <w:pPr>
        <w:pStyle w:val="PargrafodaLista"/>
        <w:tabs>
          <w:tab w:val="left" w:pos="1204"/>
        </w:tabs>
        <w:ind w:left="0" w:right="-2"/>
        <w:rPr>
          <w:lang w:val="en-US"/>
        </w:rPr>
      </w:pPr>
    </w:p>
    <w:p w14:paraId="6A5167CF" w14:textId="2162D28E" w:rsidR="00600535" w:rsidRPr="00772B5C" w:rsidRDefault="00600535" w:rsidP="00635A28">
      <w:pPr>
        <w:pStyle w:val="CETTabletitle"/>
        <w:spacing w:before="0" w:line="264" w:lineRule="auto"/>
        <w:rPr>
          <w:lang w:val="en-US"/>
        </w:rPr>
      </w:pPr>
      <w:r w:rsidRPr="00772B5C">
        <w:rPr>
          <w:lang w:val="en-US"/>
        </w:rPr>
        <w:t xml:space="preserve">Table 1: </w:t>
      </w:r>
      <w:r w:rsidR="00772B5C">
        <w:rPr>
          <w:lang w:val="en-US"/>
        </w:rPr>
        <w:t>Dry mass y</w:t>
      </w:r>
      <w:r w:rsidR="00772B5C" w:rsidRPr="00772B5C">
        <w:rPr>
          <w:lang w:val="en-US"/>
        </w:rPr>
        <w:t>ield and</w:t>
      </w:r>
      <w:r w:rsidR="00743F34" w:rsidRPr="00772B5C">
        <w:rPr>
          <w:lang w:val="en-US"/>
        </w:rPr>
        <w:t xml:space="preserve"> </w:t>
      </w:r>
      <w:r w:rsidR="00B30BAB">
        <w:rPr>
          <w:lang w:val="en-US"/>
        </w:rPr>
        <w:t>w</w:t>
      </w:r>
      <w:r w:rsidR="00772B5C">
        <w:rPr>
          <w:lang w:val="en-US"/>
        </w:rPr>
        <w:t>ater capacity retention (</w:t>
      </w:r>
      <w:r w:rsidR="00DE1E3E" w:rsidRPr="00772B5C">
        <w:rPr>
          <w:lang w:val="en-US"/>
        </w:rPr>
        <w:t>WCR</w:t>
      </w:r>
      <w:r w:rsidR="00772B5C">
        <w:rPr>
          <w:lang w:val="en-US"/>
        </w:rPr>
        <w:t>)</w:t>
      </w:r>
      <w:r w:rsidR="00DE1E3E" w:rsidRPr="00772B5C">
        <w:rPr>
          <w:lang w:val="en-US"/>
        </w:rPr>
        <w:t xml:space="preserve"> </w:t>
      </w:r>
      <w:r w:rsidR="00772B5C" w:rsidRPr="00772B5C">
        <w:rPr>
          <w:lang w:val="en-US"/>
        </w:rPr>
        <w:t>of</w:t>
      </w:r>
      <w:r w:rsidR="00DE1E3E" w:rsidRPr="00772B5C">
        <w:rPr>
          <w:lang w:val="en-US"/>
        </w:rPr>
        <w:t xml:space="preserve"> BC</w:t>
      </w:r>
      <w:r w:rsidR="00772B5C" w:rsidRPr="00772B5C">
        <w:rPr>
          <w:lang w:val="en-US"/>
        </w:rPr>
        <w:t xml:space="preserve"> membranes</w:t>
      </w:r>
      <w:r w:rsidR="00DE1E3E" w:rsidRPr="00772B5C">
        <w:rPr>
          <w:lang w:val="en-US"/>
        </w:rPr>
        <w:t>.</w:t>
      </w:r>
      <w:r w:rsidR="00D6608E">
        <w:rPr>
          <w:lang w:val="en-US"/>
        </w:rPr>
        <w:t xml:space="preserve"> Where the conditions are </w:t>
      </w:r>
      <w:r w:rsidR="00452582">
        <w:rPr>
          <w:lang w:val="en-US"/>
        </w:rPr>
        <w:t>represented</w:t>
      </w:r>
      <w:r w:rsidR="00D6608E">
        <w:rPr>
          <w:lang w:val="en-US"/>
        </w:rPr>
        <w:t xml:space="preserve"> for: E1 (</w:t>
      </w:r>
      <w:r w:rsidR="00D6608E" w:rsidRPr="00FC535F">
        <w:rPr>
          <w:lang w:val="en-US"/>
        </w:rPr>
        <w:t>absence of light at pH 5</w:t>
      </w:r>
      <w:r w:rsidR="00D6608E">
        <w:rPr>
          <w:lang w:val="en-US"/>
        </w:rPr>
        <w:t>)</w:t>
      </w:r>
      <w:r w:rsidR="00D6608E" w:rsidRPr="00FC535F">
        <w:rPr>
          <w:lang w:val="en-US"/>
        </w:rPr>
        <w:t>,</w:t>
      </w:r>
      <w:r w:rsidR="00D6608E">
        <w:rPr>
          <w:lang w:val="en-US"/>
        </w:rPr>
        <w:t xml:space="preserve"> </w:t>
      </w:r>
      <w:r w:rsidR="00D6608E" w:rsidRPr="00FC535F">
        <w:rPr>
          <w:lang w:val="en-US"/>
        </w:rPr>
        <w:t>E2</w:t>
      </w:r>
      <w:r w:rsidR="00D6608E">
        <w:rPr>
          <w:lang w:val="en-US"/>
        </w:rPr>
        <w:t xml:space="preserve"> (</w:t>
      </w:r>
      <w:r w:rsidR="00D6608E" w:rsidRPr="00FC535F">
        <w:rPr>
          <w:lang w:val="en-US"/>
        </w:rPr>
        <w:t>absence of light at pH 7</w:t>
      </w:r>
      <w:r w:rsidR="00D6608E">
        <w:rPr>
          <w:lang w:val="en-US"/>
        </w:rPr>
        <w:t>)</w:t>
      </w:r>
      <w:r w:rsidR="00D6608E" w:rsidRPr="00FC535F">
        <w:rPr>
          <w:lang w:val="en-US"/>
        </w:rPr>
        <w:t>,</w:t>
      </w:r>
      <w:r w:rsidR="00D6608E">
        <w:rPr>
          <w:lang w:val="en-US"/>
        </w:rPr>
        <w:t xml:space="preserve"> </w:t>
      </w:r>
      <w:r w:rsidR="00D6608E" w:rsidRPr="00FC535F">
        <w:rPr>
          <w:lang w:val="en-US"/>
        </w:rPr>
        <w:t xml:space="preserve">E3 </w:t>
      </w:r>
      <w:r w:rsidR="00D6608E">
        <w:rPr>
          <w:lang w:val="en-US"/>
        </w:rPr>
        <w:t>(</w:t>
      </w:r>
      <w:r w:rsidR="00D6608E" w:rsidRPr="00FC535F">
        <w:rPr>
          <w:lang w:val="en-US"/>
        </w:rPr>
        <w:t>light exposure at pH 5</w:t>
      </w:r>
      <w:r w:rsidR="00D6608E">
        <w:rPr>
          <w:lang w:val="en-US"/>
        </w:rPr>
        <w:t>)</w:t>
      </w:r>
      <w:r w:rsidR="00D6608E" w:rsidRPr="00FC535F">
        <w:rPr>
          <w:lang w:val="en-US"/>
        </w:rPr>
        <w:t xml:space="preserve">, and </w:t>
      </w:r>
      <w:r w:rsidR="00D6608E">
        <w:rPr>
          <w:lang w:val="en-US"/>
        </w:rPr>
        <w:t>E4 (</w:t>
      </w:r>
      <w:r w:rsidR="00D6608E" w:rsidRPr="00FC535F">
        <w:rPr>
          <w:lang w:val="en-US"/>
        </w:rPr>
        <w:t>light exposure at pH 7</w:t>
      </w:r>
      <w:r w:rsidR="00D6608E">
        <w:rPr>
          <w:lang w:val="en-US"/>
        </w:rPr>
        <w:t>).</w:t>
      </w:r>
    </w:p>
    <w:tbl>
      <w:tblPr>
        <w:tblW w:w="8573"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214"/>
        <w:gridCol w:w="2067"/>
        <w:gridCol w:w="1738"/>
        <w:gridCol w:w="1777"/>
        <w:gridCol w:w="1777"/>
      </w:tblGrid>
      <w:tr w:rsidR="00452582" w:rsidRPr="00772B5C" w14:paraId="4B29AA51" w14:textId="26FB9DAC" w:rsidTr="00452582">
        <w:trPr>
          <w:trHeight w:val="245"/>
        </w:trPr>
        <w:tc>
          <w:tcPr>
            <w:tcW w:w="1214" w:type="dxa"/>
            <w:tcBorders>
              <w:top w:val="single" w:sz="12" w:space="0" w:color="008000"/>
              <w:bottom w:val="single" w:sz="6" w:space="0" w:color="008000"/>
            </w:tcBorders>
            <w:shd w:val="clear" w:color="auto" w:fill="FFFFFF"/>
            <w:vAlign w:val="center"/>
          </w:tcPr>
          <w:p w14:paraId="500859EC" w14:textId="504A18E2" w:rsidR="00452582" w:rsidRPr="00B57B36" w:rsidRDefault="00452582" w:rsidP="00452582">
            <w:pPr>
              <w:pStyle w:val="CETBodytext"/>
              <w:jc w:val="center"/>
              <w:rPr>
                <w:lang w:val="en-GB"/>
              </w:rPr>
            </w:pPr>
            <w:r>
              <w:rPr>
                <w:lang w:val="en-GB"/>
              </w:rPr>
              <w:t>Conditions</w:t>
            </w:r>
          </w:p>
        </w:tc>
        <w:tc>
          <w:tcPr>
            <w:tcW w:w="2067" w:type="dxa"/>
            <w:tcBorders>
              <w:top w:val="single" w:sz="12" w:space="0" w:color="008000"/>
              <w:bottom w:val="single" w:sz="6" w:space="0" w:color="008000"/>
            </w:tcBorders>
            <w:shd w:val="clear" w:color="auto" w:fill="FFFFFF"/>
            <w:vAlign w:val="center"/>
          </w:tcPr>
          <w:p w14:paraId="6B6E97E3" w14:textId="619DD94D" w:rsidR="00452582" w:rsidRPr="00B57B36" w:rsidRDefault="00452582" w:rsidP="00452582">
            <w:pPr>
              <w:pStyle w:val="CETBodytext"/>
              <w:jc w:val="center"/>
              <w:rPr>
                <w:lang w:val="en-GB"/>
              </w:rPr>
            </w:pPr>
            <w:r>
              <w:rPr>
                <w:lang w:val="en-GB"/>
              </w:rPr>
              <w:t>Wet mass (g)</w:t>
            </w:r>
          </w:p>
        </w:tc>
        <w:tc>
          <w:tcPr>
            <w:tcW w:w="1738" w:type="dxa"/>
            <w:tcBorders>
              <w:top w:val="single" w:sz="12" w:space="0" w:color="008000"/>
              <w:bottom w:val="single" w:sz="6" w:space="0" w:color="008000"/>
            </w:tcBorders>
            <w:shd w:val="clear" w:color="auto" w:fill="FFFFFF"/>
            <w:vAlign w:val="center"/>
          </w:tcPr>
          <w:p w14:paraId="0CC5C18D" w14:textId="6C484A14" w:rsidR="00452582" w:rsidRPr="00B57B36" w:rsidRDefault="00452582" w:rsidP="00452582">
            <w:pPr>
              <w:pStyle w:val="CETBodytext"/>
              <w:jc w:val="center"/>
              <w:rPr>
                <w:lang w:val="en-GB"/>
              </w:rPr>
            </w:pPr>
            <w:r>
              <w:rPr>
                <w:lang w:val="en-GB"/>
              </w:rPr>
              <w:t>Dry mass (g)</w:t>
            </w:r>
          </w:p>
        </w:tc>
        <w:tc>
          <w:tcPr>
            <w:tcW w:w="1777" w:type="dxa"/>
            <w:tcBorders>
              <w:top w:val="single" w:sz="12" w:space="0" w:color="008000"/>
              <w:bottom w:val="single" w:sz="6" w:space="0" w:color="008000"/>
            </w:tcBorders>
            <w:shd w:val="clear" w:color="auto" w:fill="FFFFFF"/>
            <w:vAlign w:val="center"/>
          </w:tcPr>
          <w:p w14:paraId="1079C91D" w14:textId="63135653" w:rsidR="00452582" w:rsidRDefault="00426F1F" w:rsidP="00452582">
            <w:pPr>
              <w:pStyle w:val="CETBodytext"/>
              <w:ind w:right="-1"/>
              <w:jc w:val="center"/>
              <w:rPr>
                <w:rFonts w:cs="Arial"/>
                <w:szCs w:val="18"/>
                <w:lang w:val="en-GB"/>
              </w:rPr>
            </w:pPr>
            <w:r>
              <w:rPr>
                <w:rFonts w:cs="Arial"/>
                <w:szCs w:val="18"/>
              </w:rPr>
              <w:t>Y</w:t>
            </w:r>
            <w:r w:rsidR="00452582" w:rsidRPr="00772B5C">
              <w:rPr>
                <w:rFonts w:cs="Arial"/>
                <w:szCs w:val="18"/>
              </w:rPr>
              <w:t>ield (</w:t>
            </w:r>
            <w:r w:rsidRPr="00426F1F">
              <w:t>g.L</w:t>
            </w:r>
            <w:r>
              <w:rPr>
                <w:vertAlign w:val="superscript"/>
              </w:rPr>
              <w:t>-1</w:t>
            </w:r>
            <w:r w:rsidR="00452582" w:rsidRPr="00772B5C">
              <w:rPr>
                <w:rFonts w:cs="Arial"/>
                <w:szCs w:val="18"/>
              </w:rPr>
              <w:t>)</w:t>
            </w:r>
          </w:p>
        </w:tc>
        <w:tc>
          <w:tcPr>
            <w:tcW w:w="1777" w:type="dxa"/>
            <w:tcBorders>
              <w:top w:val="single" w:sz="12" w:space="0" w:color="008000"/>
              <w:bottom w:val="single" w:sz="6" w:space="0" w:color="008000"/>
            </w:tcBorders>
            <w:shd w:val="clear" w:color="auto" w:fill="FFFFFF"/>
            <w:vAlign w:val="center"/>
          </w:tcPr>
          <w:p w14:paraId="53B56136" w14:textId="16D1FA3E" w:rsidR="00452582" w:rsidRPr="00772B5C" w:rsidRDefault="00452582" w:rsidP="00452582">
            <w:pPr>
              <w:pStyle w:val="CETBodytext"/>
              <w:ind w:right="-1"/>
              <w:jc w:val="center"/>
              <w:rPr>
                <w:rFonts w:cs="Arial"/>
                <w:szCs w:val="18"/>
              </w:rPr>
            </w:pPr>
            <w:r>
              <w:rPr>
                <w:rFonts w:cs="Arial"/>
                <w:szCs w:val="18"/>
                <w:lang w:val="en-GB"/>
              </w:rPr>
              <w:t>WCR (%)</w:t>
            </w:r>
          </w:p>
        </w:tc>
      </w:tr>
      <w:tr w:rsidR="00452582" w:rsidRPr="00B57B36" w14:paraId="18FA68DB" w14:textId="30456148" w:rsidTr="00452582">
        <w:trPr>
          <w:trHeight w:val="266"/>
        </w:trPr>
        <w:tc>
          <w:tcPr>
            <w:tcW w:w="1214" w:type="dxa"/>
            <w:shd w:val="clear" w:color="auto" w:fill="FFFFFF"/>
          </w:tcPr>
          <w:p w14:paraId="1877D42D" w14:textId="42C7FE79" w:rsidR="00452582" w:rsidRPr="00B57B36" w:rsidRDefault="00452582" w:rsidP="00452582">
            <w:pPr>
              <w:pStyle w:val="CETBodytext"/>
              <w:rPr>
                <w:lang w:val="en-GB"/>
              </w:rPr>
            </w:pPr>
            <w:r>
              <w:rPr>
                <w:lang w:val="en-GB"/>
              </w:rPr>
              <w:t>E1</w:t>
            </w:r>
          </w:p>
        </w:tc>
        <w:tc>
          <w:tcPr>
            <w:tcW w:w="2067" w:type="dxa"/>
            <w:shd w:val="clear" w:color="auto" w:fill="FFFFFF"/>
            <w:vAlign w:val="center"/>
          </w:tcPr>
          <w:p w14:paraId="48136FAE" w14:textId="6B72B1A2" w:rsidR="00452582" w:rsidRPr="005C3D9E" w:rsidRDefault="00452582" w:rsidP="00452582">
            <w:pPr>
              <w:pStyle w:val="CETBodytext"/>
              <w:jc w:val="center"/>
              <w:rPr>
                <w:lang w:val="en-GB"/>
              </w:rPr>
            </w:pPr>
            <w:r w:rsidRPr="005C3D9E">
              <w:t>28,10 ±</w:t>
            </w:r>
            <w:r>
              <w:t xml:space="preserve"> </w:t>
            </w:r>
            <w:r w:rsidRPr="005C3D9E">
              <w:t>2,95</w:t>
            </w:r>
          </w:p>
        </w:tc>
        <w:tc>
          <w:tcPr>
            <w:tcW w:w="1738" w:type="dxa"/>
            <w:shd w:val="clear" w:color="auto" w:fill="FFFFFF"/>
            <w:vAlign w:val="center"/>
          </w:tcPr>
          <w:p w14:paraId="2CB03BEE" w14:textId="35E7E8BC" w:rsidR="00452582" w:rsidRPr="005C3D9E" w:rsidRDefault="00452582" w:rsidP="00452582">
            <w:pPr>
              <w:pStyle w:val="CETBodytext"/>
              <w:jc w:val="center"/>
              <w:rPr>
                <w:lang w:val="en-GB"/>
              </w:rPr>
            </w:pPr>
            <w:r w:rsidRPr="005C3D9E">
              <w:t>0,46 ± 0,08</w:t>
            </w:r>
          </w:p>
        </w:tc>
        <w:tc>
          <w:tcPr>
            <w:tcW w:w="1777" w:type="dxa"/>
            <w:shd w:val="clear" w:color="auto" w:fill="FFFFFF"/>
            <w:vAlign w:val="center"/>
          </w:tcPr>
          <w:p w14:paraId="462D473B" w14:textId="34E81049" w:rsidR="00452582" w:rsidRPr="005C3D9E" w:rsidRDefault="00452582" w:rsidP="00452582">
            <w:pPr>
              <w:pStyle w:val="CETBodytext"/>
              <w:ind w:right="-1"/>
              <w:jc w:val="center"/>
            </w:pPr>
            <w:r w:rsidRPr="005C3D9E">
              <w:t xml:space="preserve">  3,83 ± 0,70</w:t>
            </w:r>
          </w:p>
        </w:tc>
        <w:tc>
          <w:tcPr>
            <w:tcW w:w="1777" w:type="dxa"/>
            <w:shd w:val="clear" w:color="auto" w:fill="FFFFFF"/>
            <w:vAlign w:val="center"/>
          </w:tcPr>
          <w:p w14:paraId="10045EFB" w14:textId="2B250493" w:rsidR="00452582" w:rsidRPr="005C3D9E" w:rsidRDefault="00452582" w:rsidP="00452582">
            <w:pPr>
              <w:pStyle w:val="CETBodytext"/>
              <w:ind w:right="-1"/>
              <w:jc w:val="center"/>
            </w:pPr>
            <w:r w:rsidRPr="005C3D9E">
              <w:t>98,36 ± 0,25</w:t>
            </w:r>
          </w:p>
        </w:tc>
      </w:tr>
      <w:tr w:rsidR="00452582" w:rsidRPr="00B57B36" w14:paraId="0CF2CFE7" w14:textId="7070C691" w:rsidTr="00452582">
        <w:trPr>
          <w:trHeight w:val="248"/>
        </w:trPr>
        <w:tc>
          <w:tcPr>
            <w:tcW w:w="1214" w:type="dxa"/>
            <w:shd w:val="clear" w:color="auto" w:fill="FFFFFF"/>
          </w:tcPr>
          <w:p w14:paraId="37CE416F" w14:textId="23B43DE2" w:rsidR="00452582" w:rsidRPr="00B57B36" w:rsidRDefault="00452582" w:rsidP="00452582">
            <w:pPr>
              <w:pStyle w:val="CETBodytext"/>
              <w:rPr>
                <w:lang w:val="en-GB"/>
              </w:rPr>
            </w:pPr>
            <w:r>
              <w:rPr>
                <w:lang w:val="en-GB"/>
              </w:rPr>
              <w:t>E2</w:t>
            </w:r>
          </w:p>
        </w:tc>
        <w:tc>
          <w:tcPr>
            <w:tcW w:w="2067" w:type="dxa"/>
            <w:shd w:val="clear" w:color="auto" w:fill="FFFFFF"/>
            <w:vAlign w:val="center"/>
          </w:tcPr>
          <w:p w14:paraId="7EB10DFF" w14:textId="2A157436" w:rsidR="00452582" w:rsidRPr="005C3D9E" w:rsidRDefault="00452582" w:rsidP="00452582">
            <w:pPr>
              <w:pStyle w:val="CETBodytext"/>
              <w:jc w:val="center"/>
              <w:rPr>
                <w:lang w:val="en-GB"/>
              </w:rPr>
            </w:pPr>
            <w:r w:rsidRPr="005C3D9E">
              <w:t>17,32 ±</w:t>
            </w:r>
            <w:r>
              <w:t xml:space="preserve"> </w:t>
            </w:r>
            <w:r w:rsidRPr="005C3D9E">
              <w:t>1,82</w:t>
            </w:r>
          </w:p>
        </w:tc>
        <w:tc>
          <w:tcPr>
            <w:tcW w:w="1738" w:type="dxa"/>
            <w:shd w:val="clear" w:color="auto" w:fill="FFFFFF"/>
            <w:vAlign w:val="center"/>
          </w:tcPr>
          <w:p w14:paraId="6972E532" w14:textId="1CD84E23" w:rsidR="00452582" w:rsidRPr="005C3D9E" w:rsidRDefault="00452582" w:rsidP="00452582">
            <w:pPr>
              <w:pStyle w:val="CETBodytext"/>
              <w:jc w:val="center"/>
              <w:rPr>
                <w:lang w:val="en-GB"/>
              </w:rPr>
            </w:pPr>
            <w:r w:rsidRPr="005C3D9E">
              <w:t>0,84 ± 0,19</w:t>
            </w:r>
          </w:p>
        </w:tc>
        <w:tc>
          <w:tcPr>
            <w:tcW w:w="1777" w:type="dxa"/>
            <w:shd w:val="clear" w:color="auto" w:fill="FFFFFF"/>
            <w:vAlign w:val="center"/>
          </w:tcPr>
          <w:p w14:paraId="292DE700" w14:textId="45C57FAF" w:rsidR="00452582" w:rsidRPr="005C3D9E" w:rsidRDefault="00452582" w:rsidP="00452582">
            <w:pPr>
              <w:pStyle w:val="CETBodytext"/>
              <w:ind w:right="-1"/>
              <w:jc w:val="center"/>
            </w:pPr>
            <w:r w:rsidRPr="005C3D9E">
              <w:t xml:space="preserve">  7,02 ± 1,57</w:t>
            </w:r>
          </w:p>
        </w:tc>
        <w:tc>
          <w:tcPr>
            <w:tcW w:w="1777" w:type="dxa"/>
            <w:shd w:val="clear" w:color="auto" w:fill="FFFFFF"/>
            <w:vAlign w:val="center"/>
          </w:tcPr>
          <w:p w14:paraId="616C16B9" w14:textId="52127561" w:rsidR="00452582" w:rsidRPr="005C3D9E" w:rsidRDefault="00452582" w:rsidP="00452582">
            <w:pPr>
              <w:pStyle w:val="CETBodytext"/>
              <w:ind w:right="-1"/>
              <w:jc w:val="center"/>
            </w:pPr>
            <w:r w:rsidRPr="005C3D9E">
              <w:t>95,13 ± 1,07</w:t>
            </w:r>
          </w:p>
        </w:tc>
      </w:tr>
      <w:tr w:rsidR="00452582" w:rsidRPr="00B57B36" w14:paraId="3B1C8611" w14:textId="63D98935" w:rsidTr="00452582">
        <w:trPr>
          <w:trHeight w:val="248"/>
        </w:trPr>
        <w:tc>
          <w:tcPr>
            <w:tcW w:w="1214" w:type="dxa"/>
            <w:shd w:val="clear" w:color="auto" w:fill="FFFFFF"/>
          </w:tcPr>
          <w:p w14:paraId="1713E1E3" w14:textId="020966F7" w:rsidR="00452582" w:rsidRPr="00B57B36" w:rsidRDefault="00452582" w:rsidP="00452582">
            <w:pPr>
              <w:pStyle w:val="CETBodytext"/>
              <w:rPr>
                <w:lang w:val="en-GB"/>
              </w:rPr>
            </w:pPr>
            <w:r>
              <w:rPr>
                <w:lang w:val="en-GB"/>
              </w:rPr>
              <w:t>E3</w:t>
            </w:r>
          </w:p>
        </w:tc>
        <w:tc>
          <w:tcPr>
            <w:tcW w:w="2067" w:type="dxa"/>
            <w:shd w:val="clear" w:color="auto" w:fill="FFFFFF"/>
            <w:vAlign w:val="center"/>
          </w:tcPr>
          <w:p w14:paraId="70CD79F5" w14:textId="141805E0" w:rsidR="00452582" w:rsidRPr="005C3D9E" w:rsidRDefault="00452582" w:rsidP="00452582">
            <w:pPr>
              <w:pStyle w:val="CETBodytext"/>
              <w:jc w:val="center"/>
              <w:rPr>
                <w:lang w:val="en-GB"/>
              </w:rPr>
            </w:pPr>
            <w:r w:rsidRPr="005C3D9E">
              <w:t>27,73 ±</w:t>
            </w:r>
            <w:r>
              <w:t xml:space="preserve"> </w:t>
            </w:r>
            <w:r w:rsidRPr="005C3D9E">
              <w:t>3,40</w:t>
            </w:r>
          </w:p>
        </w:tc>
        <w:tc>
          <w:tcPr>
            <w:tcW w:w="1738" w:type="dxa"/>
            <w:shd w:val="clear" w:color="auto" w:fill="FFFFFF"/>
            <w:vAlign w:val="center"/>
          </w:tcPr>
          <w:p w14:paraId="15CCAA90" w14:textId="313A6663" w:rsidR="00452582" w:rsidRPr="005C3D9E" w:rsidRDefault="00452582" w:rsidP="00452582">
            <w:pPr>
              <w:pStyle w:val="CETBodytext"/>
              <w:jc w:val="center"/>
              <w:rPr>
                <w:lang w:val="en-GB"/>
              </w:rPr>
            </w:pPr>
            <w:r w:rsidRPr="005C3D9E">
              <w:t>0,94 ± 0,08</w:t>
            </w:r>
          </w:p>
        </w:tc>
        <w:tc>
          <w:tcPr>
            <w:tcW w:w="1777" w:type="dxa"/>
            <w:shd w:val="clear" w:color="auto" w:fill="FFFFFF"/>
            <w:vAlign w:val="center"/>
          </w:tcPr>
          <w:p w14:paraId="67E58650" w14:textId="44C03B22" w:rsidR="00452582" w:rsidRPr="005C3D9E" w:rsidRDefault="00452582" w:rsidP="00452582">
            <w:pPr>
              <w:pStyle w:val="CETBodytext"/>
              <w:ind w:right="-1"/>
              <w:jc w:val="center"/>
            </w:pPr>
            <w:r w:rsidRPr="005C3D9E">
              <w:t>7,80 ± 0,68</w:t>
            </w:r>
          </w:p>
        </w:tc>
        <w:tc>
          <w:tcPr>
            <w:tcW w:w="1777" w:type="dxa"/>
            <w:shd w:val="clear" w:color="auto" w:fill="FFFFFF"/>
            <w:vAlign w:val="center"/>
          </w:tcPr>
          <w:p w14:paraId="348AF615" w14:textId="6103BFE4" w:rsidR="00452582" w:rsidRPr="005C3D9E" w:rsidRDefault="00452582" w:rsidP="00452582">
            <w:pPr>
              <w:pStyle w:val="CETBodytext"/>
              <w:ind w:right="-1"/>
              <w:jc w:val="center"/>
            </w:pPr>
            <w:r w:rsidRPr="005C3D9E">
              <w:t>96,62 ± 0,15</w:t>
            </w:r>
          </w:p>
        </w:tc>
      </w:tr>
      <w:tr w:rsidR="00452582" w:rsidRPr="00B57B36" w14:paraId="1777C522" w14:textId="4063C6DD" w:rsidTr="00452582">
        <w:trPr>
          <w:trHeight w:val="248"/>
        </w:trPr>
        <w:tc>
          <w:tcPr>
            <w:tcW w:w="1214" w:type="dxa"/>
            <w:shd w:val="clear" w:color="auto" w:fill="FFFFFF"/>
          </w:tcPr>
          <w:p w14:paraId="59954EC2" w14:textId="02A3E0EC" w:rsidR="00452582" w:rsidRPr="00B57B36" w:rsidRDefault="00452582" w:rsidP="00452582">
            <w:pPr>
              <w:pStyle w:val="CETBodytext"/>
              <w:ind w:right="-1"/>
              <w:rPr>
                <w:rFonts w:cs="Arial"/>
                <w:szCs w:val="18"/>
                <w:lang w:val="en-GB"/>
              </w:rPr>
            </w:pPr>
            <w:r>
              <w:rPr>
                <w:rFonts w:cs="Arial"/>
                <w:szCs w:val="18"/>
                <w:lang w:val="en-GB"/>
              </w:rPr>
              <w:t>E4</w:t>
            </w:r>
          </w:p>
        </w:tc>
        <w:tc>
          <w:tcPr>
            <w:tcW w:w="2067" w:type="dxa"/>
            <w:shd w:val="clear" w:color="auto" w:fill="FFFFFF"/>
            <w:vAlign w:val="center"/>
          </w:tcPr>
          <w:p w14:paraId="4FFB40F7" w14:textId="78A61613" w:rsidR="00452582" w:rsidRPr="005C3D9E" w:rsidRDefault="00452582" w:rsidP="00452582">
            <w:pPr>
              <w:pStyle w:val="CETBodytext"/>
              <w:ind w:right="-1"/>
              <w:jc w:val="center"/>
              <w:rPr>
                <w:rFonts w:cs="Arial"/>
                <w:szCs w:val="18"/>
                <w:lang w:val="en-GB"/>
              </w:rPr>
            </w:pPr>
            <w:r w:rsidRPr="005C3D9E">
              <w:t>25,50 ±</w:t>
            </w:r>
            <w:r>
              <w:t xml:space="preserve"> </w:t>
            </w:r>
            <w:r w:rsidRPr="005C3D9E">
              <w:t>3,89</w:t>
            </w:r>
          </w:p>
        </w:tc>
        <w:tc>
          <w:tcPr>
            <w:tcW w:w="1738" w:type="dxa"/>
            <w:shd w:val="clear" w:color="auto" w:fill="FFFFFF"/>
            <w:vAlign w:val="center"/>
          </w:tcPr>
          <w:p w14:paraId="74F8316C" w14:textId="2876BD5B" w:rsidR="00452582" w:rsidRPr="005C3D9E" w:rsidRDefault="00452582" w:rsidP="00452582">
            <w:pPr>
              <w:pStyle w:val="CETBodytext"/>
              <w:ind w:right="-1"/>
              <w:jc w:val="center"/>
              <w:rPr>
                <w:rFonts w:cs="Arial"/>
                <w:szCs w:val="18"/>
                <w:lang w:val="en-GB"/>
              </w:rPr>
            </w:pPr>
            <w:r w:rsidRPr="005C3D9E">
              <w:t>0,66 ± 0,02</w:t>
            </w:r>
          </w:p>
        </w:tc>
        <w:tc>
          <w:tcPr>
            <w:tcW w:w="1777" w:type="dxa"/>
            <w:shd w:val="clear" w:color="auto" w:fill="FFFFFF"/>
            <w:vAlign w:val="center"/>
          </w:tcPr>
          <w:p w14:paraId="24905E6B" w14:textId="1DA96A09" w:rsidR="00452582" w:rsidRPr="005C3D9E" w:rsidRDefault="00452582" w:rsidP="00452582">
            <w:pPr>
              <w:pStyle w:val="CETBodytext"/>
              <w:ind w:right="-1"/>
              <w:jc w:val="center"/>
            </w:pPr>
            <w:r w:rsidRPr="005C3D9E">
              <w:t>5,51 ± 0,15</w:t>
            </w:r>
          </w:p>
        </w:tc>
        <w:tc>
          <w:tcPr>
            <w:tcW w:w="1777" w:type="dxa"/>
            <w:shd w:val="clear" w:color="auto" w:fill="FFFFFF"/>
            <w:vAlign w:val="center"/>
          </w:tcPr>
          <w:p w14:paraId="302031AF" w14:textId="6B5E87E5" w:rsidR="00452582" w:rsidRPr="005C3D9E" w:rsidRDefault="00452582" w:rsidP="00452582">
            <w:pPr>
              <w:pStyle w:val="CETBodytext"/>
              <w:ind w:right="-1"/>
              <w:jc w:val="center"/>
            </w:pPr>
            <w:r w:rsidRPr="005C3D9E">
              <w:t>97,56 ± 0,36</w:t>
            </w:r>
          </w:p>
        </w:tc>
      </w:tr>
    </w:tbl>
    <w:p w14:paraId="07B782AF" w14:textId="77777777" w:rsidR="00DE1E3E" w:rsidRDefault="00DE1E3E" w:rsidP="00635A28">
      <w:pPr>
        <w:pStyle w:val="CETheadingx"/>
        <w:numPr>
          <w:ilvl w:val="0"/>
          <w:numId w:val="0"/>
        </w:numPr>
        <w:spacing w:line="264" w:lineRule="auto"/>
      </w:pPr>
    </w:p>
    <w:p w14:paraId="55215829" w14:textId="485BE022" w:rsidR="00A81EDC" w:rsidRPr="00A81EDC" w:rsidRDefault="00A81EDC" w:rsidP="00A81EDC">
      <w:pPr>
        <w:tabs>
          <w:tab w:val="left" w:pos="1204"/>
        </w:tabs>
        <w:ind w:right="-2"/>
        <w:rPr>
          <w:lang w:val="en-US"/>
        </w:rPr>
      </w:pPr>
      <w:r w:rsidRPr="00A81EDC">
        <w:rPr>
          <w:lang w:val="en-US"/>
        </w:rPr>
        <w:t xml:space="preserve">Condition E3 (light exposure + pH 5) achieved the highest yield (7.80 ± 0.68 </w:t>
      </w:r>
      <w:r w:rsidR="00426F1F" w:rsidRPr="00426F1F">
        <w:t>g.L</w:t>
      </w:r>
      <w:r w:rsidR="00426F1F">
        <w:rPr>
          <w:vertAlign w:val="superscript"/>
        </w:rPr>
        <w:t>-1</w:t>
      </w:r>
      <w:r w:rsidRPr="00A81EDC">
        <w:rPr>
          <w:lang w:val="en-US"/>
        </w:rPr>
        <w:t xml:space="preserve">), whereas E1 (no light + pH 5) exhibited the lowest production (3.83 ± 0.70 </w:t>
      </w:r>
      <w:r w:rsidR="00426F1F" w:rsidRPr="00426F1F">
        <w:t>g.L</w:t>
      </w:r>
      <w:r w:rsidR="00426F1F">
        <w:rPr>
          <w:vertAlign w:val="superscript"/>
        </w:rPr>
        <w:t>-1</w:t>
      </w:r>
      <w:r w:rsidRPr="00A81EDC">
        <w:rPr>
          <w:lang w:val="en-US"/>
        </w:rPr>
        <w:t>). Tukey’s post hoc test confirmed that E1 differed significantly from E2 (p = 0.012) and E3 (p = 0.003), demonstrating that, at pH 5, light exposure promoted a statistically significant increase in BC production. Conversely, no significant difference was observed between E2 (no light + pH 7) and E3, indicating that distinct combinations of pH and light availability may result in comparable production levels. At pH 7, light exposure did not enhance yield, as E4 did not differ statistically from the other conditions and showed a decreasing trend relative to E3 (p = 0.064).</w:t>
      </w:r>
    </w:p>
    <w:p w14:paraId="1179CF34" w14:textId="77777777" w:rsidR="00A81EDC" w:rsidRDefault="00A81EDC" w:rsidP="00A81EDC">
      <w:pPr>
        <w:tabs>
          <w:tab w:val="left" w:pos="1204"/>
        </w:tabs>
        <w:ind w:right="-2"/>
        <w:rPr>
          <w:lang w:val="en-US"/>
        </w:rPr>
      </w:pPr>
      <w:r w:rsidRPr="00A81EDC">
        <w:rPr>
          <w:lang w:val="en-US"/>
        </w:rPr>
        <w:t>This pattern reinforces that the metabolic response of the system is dependent on the physiological state imposed by pH. Acetic acid bacteria of the genus Komagataeibacter, which predominate in SCOBY consortia, exhibit metabolic adaptation to mildly acidic environments (Haslan et al., 2025b). Under pH 5, light exposure may have acted as an additional stimulus, potentially modulating regulatory systems sensitive to the cellular redox state, as illustrated in Figure 1. BC production is closely associated with cellular protection against environmental stressors, where chemical inducers are upregulated and may selectively alter gene expression, thereby activating metabolic pathways involved in polysaccharide biosynthesis.</w:t>
      </w:r>
    </w:p>
    <w:p w14:paraId="14246FE9" w14:textId="77777777" w:rsidR="00A81EDC" w:rsidRDefault="00A81EDC" w:rsidP="00A81EDC">
      <w:pPr>
        <w:tabs>
          <w:tab w:val="left" w:pos="1204"/>
        </w:tabs>
        <w:ind w:right="-2"/>
        <w:rPr>
          <w:lang w:val="en-US"/>
        </w:rPr>
      </w:pPr>
    </w:p>
    <w:p w14:paraId="2F67BCDC" w14:textId="77777777" w:rsidR="00A81EDC" w:rsidRPr="00060B2B" w:rsidRDefault="00A81EDC" w:rsidP="00A81EDC">
      <w:pPr>
        <w:pStyle w:val="PargrafodaLista"/>
        <w:tabs>
          <w:tab w:val="left" w:pos="1204"/>
        </w:tabs>
        <w:ind w:left="0" w:right="-2"/>
        <w:rPr>
          <w:lang w:val="en-US"/>
        </w:rPr>
      </w:pPr>
      <w:r w:rsidRPr="00961DFB">
        <w:rPr>
          <w:noProof/>
          <w:lang w:val="en-US"/>
        </w:rPr>
        <w:lastRenderedPageBreak/>
        <w:drawing>
          <wp:inline distT="0" distB="0" distL="0" distR="0" wp14:anchorId="597591A0" wp14:editId="630C278F">
            <wp:extent cx="5524500" cy="2765707"/>
            <wp:effectExtent l="19050" t="19050" r="19050" b="15875"/>
            <wp:docPr id="78331526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315266" name=""/>
                    <pic:cNvPicPr/>
                  </pic:nvPicPr>
                  <pic:blipFill>
                    <a:blip r:embed="rId10"/>
                    <a:stretch>
                      <a:fillRect/>
                    </a:stretch>
                  </pic:blipFill>
                  <pic:spPr>
                    <a:xfrm>
                      <a:off x="0" y="0"/>
                      <a:ext cx="5586133" cy="2796562"/>
                    </a:xfrm>
                    <a:prstGeom prst="rect">
                      <a:avLst/>
                    </a:prstGeom>
                    <a:ln>
                      <a:solidFill>
                        <a:schemeClr val="tx1">
                          <a:lumMod val="50000"/>
                          <a:lumOff val="50000"/>
                        </a:schemeClr>
                      </a:solidFill>
                    </a:ln>
                  </pic:spPr>
                </pic:pic>
              </a:graphicData>
            </a:graphic>
          </wp:inline>
        </w:drawing>
      </w:r>
    </w:p>
    <w:p w14:paraId="39C519A5" w14:textId="77777777" w:rsidR="00A81EDC" w:rsidRPr="00961DFB" w:rsidRDefault="00A81EDC" w:rsidP="00A81EDC">
      <w:pPr>
        <w:pStyle w:val="PargrafodaLista"/>
        <w:tabs>
          <w:tab w:val="left" w:pos="1204"/>
        </w:tabs>
        <w:ind w:left="0" w:right="-2"/>
        <w:rPr>
          <w:i/>
          <w:lang w:val="en-US"/>
        </w:rPr>
      </w:pPr>
      <w:r w:rsidRPr="00961DFB">
        <w:rPr>
          <w:i/>
          <w:lang w:val="en-US"/>
        </w:rPr>
        <w:t>Figur</w:t>
      </w:r>
      <w:r>
        <w:rPr>
          <w:i/>
          <w:lang w:val="en-US"/>
        </w:rPr>
        <w:t>e</w:t>
      </w:r>
      <w:r w:rsidRPr="00961DFB">
        <w:rPr>
          <w:i/>
          <w:lang w:val="en-US"/>
        </w:rPr>
        <w:t xml:space="preserve"> 1: Proposed model illustrating the interaction between pH</w:t>
      </w:r>
      <w:r>
        <w:rPr>
          <w:i/>
          <w:lang w:val="en-US"/>
        </w:rPr>
        <w:t xml:space="preserve"> 5</w:t>
      </w:r>
      <w:r w:rsidRPr="00961DFB">
        <w:rPr>
          <w:i/>
          <w:lang w:val="en-US"/>
        </w:rPr>
        <w:t xml:space="preserve"> and light exposure in regulating cellulose biosynthesis.</w:t>
      </w:r>
    </w:p>
    <w:p w14:paraId="13D60A25" w14:textId="77777777" w:rsidR="00A81EDC" w:rsidRDefault="00A81EDC" w:rsidP="00A81EDC">
      <w:pPr>
        <w:tabs>
          <w:tab w:val="left" w:pos="1204"/>
        </w:tabs>
        <w:ind w:right="-2"/>
        <w:rPr>
          <w:lang w:val="en-US"/>
        </w:rPr>
      </w:pPr>
    </w:p>
    <w:p w14:paraId="6CE7A497" w14:textId="67B3E977" w:rsidR="00A81EDC" w:rsidRPr="00A81EDC" w:rsidRDefault="00A81EDC" w:rsidP="00A81EDC">
      <w:pPr>
        <w:tabs>
          <w:tab w:val="left" w:pos="1204"/>
        </w:tabs>
        <w:ind w:right="-2"/>
        <w:rPr>
          <w:lang w:val="en-US"/>
        </w:rPr>
      </w:pPr>
      <w:r w:rsidRPr="00A81EDC">
        <w:rPr>
          <w:lang w:val="en-US"/>
        </w:rPr>
        <w:t>According to Rodrigues et al. (2025), although acetic acid bacteria are not phototrophic, emerging evidence suggests that low-intensity irradiation can influence redox-sensitive proteins or sensory domains associated with cellular signaling. Such modulation may affect the activity of diguanylate cyclases responsible for c-di-GMP synthesis, which allosterically activates BcsA (the catalytic subunit of the cellulose synthase complex), thereby enhancing glucose polymerization and increasing BC yield. These findings support the hypothesis that light exposure may have modulated regulatory pathways associated with c-di-GMP signaling, a mechanism that warrants further molecular investigation. Studies exploring the role of light in bioprocesses have become increasingly comprehensive in recent years (Fan et al., 2025).</w:t>
      </w:r>
    </w:p>
    <w:p w14:paraId="185A5DD2" w14:textId="77777777" w:rsidR="00A81EDC" w:rsidRPr="00A81EDC" w:rsidRDefault="00A81EDC" w:rsidP="00A81EDC">
      <w:pPr>
        <w:tabs>
          <w:tab w:val="left" w:pos="1204"/>
        </w:tabs>
        <w:ind w:right="-2"/>
        <w:rPr>
          <w:rFonts w:cs="Arial"/>
          <w:szCs w:val="18"/>
          <w:lang w:val="en-US"/>
        </w:rPr>
      </w:pPr>
      <w:r w:rsidRPr="00A81EDC">
        <w:rPr>
          <w:rFonts w:cs="Arial"/>
          <w:szCs w:val="18"/>
          <w:lang w:val="en-US"/>
        </w:rPr>
        <w:t>According to the statistical analysis, at pH 7 light exposure did not result in enhanced production, suggesting that a less acidic environment may alter the redox balance, enzymatic efficiency, or overall metabolic dynamics of the microbial consortium, thereby limiting the activation of pathways associated with exopolysaccharide biosynthesis. Considering that SCOBY constitutes a consortial system, metabolic interactions between yeasts and acetic acid bacteria may amplify sensitivity to environmental fluctuations, integratively modulating the availability of key precursors such as UDP-glucose and the activation state of the cellulose synthase complex (Haslan et al., 2025b; Absharina et al., 2025).</w:t>
      </w:r>
    </w:p>
    <w:p w14:paraId="22FCD0A5" w14:textId="1BE8AC05" w:rsidR="00A81EDC" w:rsidRPr="00A81EDC" w:rsidRDefault="00A81EDC" w:rsidP="00A81EDC">
      <w:pPr>
        <w:tabs>
          <w:tab w:val="left" w:pos="1204"/>
        </w:tabs>
        <w:ind w:right="-2"/>
        <w:rPr>
          <w:rFonts w:cs="Arial"/>
          <w:szCs w:val="18"/>
          <w:lang w:val="en-US"/>
        </w:rPr>
      </w:pPr>
      <w:r w:rsidRPr="00A81EDC">
        <w:rPr>
          <w:rFonts w:cs="Arial"/>
          <w:szCs w:val="18"/>
          <w:lang w:val="en-US"/>
        </w:rPr>
        <w:t>Regarding WCR values (Table 1), all formulations exhibited high water retention capacity, an intrinsic characteristic of the highly hydrated nanofibrillar network of BC (Quin et al., 2023). Nevertheless, variations in WCR were observed across experimental conditions. Tukey’s test indicated that treatment E2 presented significantly lower WCR compared to E1 (p = 0.0006) and E4 (p = 0.0040), whereas E3 also showed reduced values relative to E1 (p = 0.0259). In contrast, no statistically significant differences were detected between E4 and E1 (p = 0.3892), E3 and E2 (p = 0.0561), or E4 and E3 (p = 0.2684), indicating an intermediate behavior among these groups. These findings demonstrate that, although all formulations maintained elevated water retention, variations in pH and light exposure differentially influenced the structural organization of the fibrillar network and its capacity to interact with water molecules.</w:t>
      </w:r>
    </w:p>
    <w:p w14:paraId="79D2D870" w14:textId="77777777" w:rsidR="00AF0A0C" w:rsidRPr="00A81EDC" w:rsidRDefault="00AF0A0C" w:rsidP="00635A28">
      <w:pPr>
        <w:pStyle w:val="PargrafodaLista"/>
        <w:tabs>
          <w:tab w:val="left" w:pos="1204"/>
        </w:tabs>
        <w:ind w:left="0" w:right="-2"/>
        <w:rPr>
          <w:lang w:val="en-US"/>
        </w:rPr>
      </w:pPr>
    </w:p>
    <w:p w14:paraId="68D26B83" w14:textId="1C78ADA8" w:rsidR="00600535" w:rsidRPr="00B57B36" w:rsidRDefault="00600535" w:rsidP="00635A28">
      <w:pPr>
        <w:pStyle w:val="CETHeading1"/>
        <w:spacing w:line="264" w:lineRule="auto"/>
        <w:rPr>
          <w:lang w:val="en-GB"/>
        </w:rPr>
      </w:pPr>
      <w:r w:rsidRPr="00B57B36">
        <w:rPr>
          <w:lang w:val="en-GB"/>
        </w:rPr>
        <w:t>Conclusions</w:t>
      </w:r>
    </w:p>
    <w:p w14:paraId="2765D451" w14:textId="0DE7C987" w:rsidR="00A81EDC" w:rsidRPr="00A81EDC" w:rsidRDefault="00A81EDC" w:rsidP="00635A28">
      <w:pPr>
        <w:pStyle w:val="CETBodytext"/>
      </w:pPr>
      <w:r w:rsidRPr="00A81EDC">
        <w:t xml:space="preserve">The results demonstrated that the interaction between pH and light availability exerts a significant influence on bacterial cellulose production, with the condition of pH 5 under LED light exposure yielding the highest dry mass production (7.80 ± 0.68 </w:t>
      </w:r>
      <w:r w:rsidR="00426F1F" w:rsidRPr="00426F1F">
        <w:t>g.L</w:t>
      </w:r>
      <w:r w:rsidR="00426F1F">
        <w:rPr>
          <w:vertAlign w:val="superscript"/>
        </w:rPr>
        <w:t>-1</w:t>
      </w:r>
      <w:r w:rsidRPr="00A81EDC">
        <w:t>). These findings highlight that physicochemical cultivation parameters can be strategically modulated to optimize biopolymer productivity, particularly in non-conventional media such as cheese whey. Given that the combined effects of light exposure and pH on BC biosynthesis remain scarcely explored in the literature</w:t>
      </w:r>
      <w:r w:rsidR="00426F1F">
        <w:t xml:space="preserve">, </w:t>
      </w:r>
      <w:r w:rsidRPr="00A81EDC">
        <w:t>especially in alternative substrates</w:t>
      </w:r>
      <w:r w:rsidR="00426F1F">
        <w:t xml:space="preserve">, </w:t>
      </w:r>
      <w:r w:rsidRPr="00A81EDC">
        <w:t xml:space="preserve">these results expand current understanding of environmental regulation in the fermentative process. Thus, this study advances the field by demonstrating, in </w:t>
      </w:r>
      <w:r w:rsidRPr="00A81EDC">
        <w:lastRenderedPageBreak/>
        <w:t>a novel manner, the synergistic impact of LED light and pH on BC production in a whey-based medium, providing a scientific basis for the optimization of production systems with potential industrial application.</w:t>
      </w:r>
    </w:p>
    <w:p w14:paraId="6F69B25B" w14:textId="77777777" w:rsidR="00B83729" w:rsidRPr="00A81EDC" w:rsidRDefault="00B83729" w:rsidP="00635A28">
      <w:pPr>
        <w:pStyle w:val="CETBodytext"/>
      </w:pPr>
    </w:p>
    <w:p w14:paraId="4F1327F8" w14:textId="77777777" w:rsidR="00600535" w:rsidRPr="00B57B36" w:rsidRDefault="00600535" w:rsidP="00600535">
      <w:pPr>
        <w:pStyle w:val="CETReference"/>
      </w:pPr>
      <w:r w:rsidRPr="00B57B36">
        <w:t>References</w:t>
      </w:r>
    </w:p>
    <w:p w14:paraId="1F656498" w14:textId="77777777" w:rsidR="00A81EDC" w:rsidRDefault="00A81EDC" w:rsidP="00A81EDC">
      <w:pPr>
        <w:pStyle w:val="CETReferencetext"/>
        <w:rPr>
          <w:lang w:val="en-US"/>
        </w:rPr>
      </w:pPr>
      <w:r w:rsidRPr="006140B2">
        <w:rPr>
          <w:lang w:val="en-US"/>
        </w:rPr>
        <w:t>Absharina D.</w:t>
      </w:r>
      <w:r>
        <w:rPr>
          <w:lang w:val="en-US"/>
        </w:rPr>
        <w:t>,</w:t>
      </w:r>
      <w:r w:rsidRPr="006140B2">
        <w:rPr>
          <w:lang w:val="en-US"/>
        </w:rPr>
        <w:t xml:space="preserve"> Putra F.J.N.</w:t>
      </w:r>
      <w:r>
        <w:rPr>
          <w:lang w:val="en-US"/>
        </w:rPr>
        <w:t>,</w:t>
      </w:r>
      <w:r w:rsidRPr="006140B2">
        <w:rPr>
          <w:lang w:val="en-US"/>
        </w:rPr>
        <w:t xml:space="preserve"> Ogino C.</w:t>
      </w:r>
      <w:r>
        <w:rPr>
          <w:lang w:val="en-US"/>
        </w:rPr>
        <w:t>,</w:t>
      </w:r>
      <w:r w:rsidRPr="006140B2">
        <w:rPr>
          <w:lang w:val="en-US"/>
        </w:rPr>
        <w:t xml:space="preserve"> Kocsubé S.</w:t>
      </w:r>
      <w:r>
        <w:rPr>
          <w:lang w:val="en-US"/>
        </w:rPr>
        <w:t>,</w:t>
      </w:r>
      <w:r w:rsidRPr="006140B2">
        <w:rPr>
          <w:lang w:val="en-US"/>
        </w:rPr>
        <w:t xml:space="preserve"> Veres C.</w:t>
      </w:r>
      <w:r>
        <w:rPr>
          <w:lang w:val="en-US"/>
        </w:rPr>
        <w:t>,</w:t>
      </w:r>
      <w:r w:rsidRPr="006140B2">
        <w:rPr>
          <w:lang w:val="en-US"/>
        </w:rPr>
        <w:t xml:space="preserve"> Vágvölgyi C.</w:t>
      </w:r>
      <w:r>
        <w:rPr>
          <w:lang w:val="en-US"/>
        </w:rPr>
        <w:t>,</w:t>
      </w:r>
      <w:r w:rsidRPr="006140B2">
        <w:rPr>
          <w:lang w:val="en-US"/>
        </w:rPr>
        <w:t xml:space="preserve"> </w:t>
      </w:r>
      <w:r>
        <w:rPr>
          <w:lang w:val="en-US"/>
        </w:rPr>
        <w:t xml:space="preserve">2025, </w:t>
      </w:r>
      <w:r w:rsidRPr="006140B2">
        <w:rPr>
          <w:lang w:val="en-US"/>
        </w:rPr>
        <w:t>Bacterial Cellulose Production in Co-Culture Systems: Opportunities, Challenges, and Future Directions</w:t>
      </w:r>
      <w:r>
        <w:rPr>
          <w:lang w:val="en-US"/>
        </w:rPr>
        <w:t>,</w:t>
      </w:r>
      <w:r w:rsidRPr="006140B2">
        <w:rPr>
          <w:lang w:val="en-US"/>
        </w:rPr>
        <w:t xml:space="preserve"> </w:t>
      </w:r>
      <w:r w:rsidRPr="00CE23D0">
        <w:rPr>
          <w:lang w:val="en-US"/>
        </w:rPr>
        <w:t>Appl. Microbiol.</w:t>
      </w:r>
      <w:r>
        <w:rPr>
          <w:lang w:val="en-US"/>
        </w:rPr>
        <w:t xml:space="preserve">, </w:t>
      </w:r>
      <w:r w:rsidRPr="00CE23D0">
        <w:rPr>
          <w:lang w:val="en-US"/>
        </w:rPr>
        <w:t>5, 92. DOI: 10.3390/applmicrobiol5030092</w:t>
      </w:r>
    </w:p>
    <w:p w14:paraId="32CF479F" w14:textId="77777777" w:rsidR="00A81EDC" w:rsidRDefault="00A81EDC" w:rsidP="00A81EDC">
      <w:pPr>
        <w:pStyle w:val="CETReferencetext"/>
        <w:rPr>
          <w:lang w:val="en-US"/>
        </w:rPr>
      </w:pPr>
      <w:r w:rsidRPr="00CE23D0">
        <w:rPr>
          <w:lang w:val="en-US"/>
        </w:rPr>
        <w:t>Edo G.I., Ndudi</w:t>
      </w:r>
      <w:r>
        <w:rPr>
          <w:lang w:val="en-US"/>
        </w:rPr>
        <w:t xml:space="preserve"> </w:t>
      </w:r>
      <w:r w:rsidRPr="00CE23D0">
        <w:rPr>
          <w:lang w:val="en-US"/>
        </w:rPr>
        <w:t>W., Ali A.B., Yousif E., Jikah A.N., Isoje E.F., Igbuku U</w:t>
      </w:r>
      <w:r>
        <w:rPr>
          <w:lang w:val="en-US"/>
        </w:rPr>
        <w:t>.</w:t>
      </w:r>
      <w:r w:rsidRPr="00CE23D0">
        <w:rPr>
          <w:lang w:val="en-US"/>
        </w:rPr>
        <w:t>A</w:t>
      </w:r>
      <w:r>
        <w:rPr>
          <w:lang w:val="en-US"/>
        </w:rPr>
        <w:t>.</w:t>
      </w:r>
      <w:r w:rsidRPr="00CE23D0">
        <w:rPr>
          <w:lang w:val="en-US"/>
        </w:rPr>
        <w:t>,</w:t>
      </w:r>
      <w:r>
        <w:rPr>
          <w:lang w:val="en-US"/>
        </w:rPr>
        <w:t xml:space="preserve"> </w:t>
      </w:r>
      <w:r w:rsidRPr="00CE23D0">
        <w:rPr>
          <w:lang w:val="en-US"/>
        </w:rPr>
        <w:t>Mafe A</w:t>
      </w:r>
      <w:r>
        <w:rPr>
          <w:lang w:val="en-US"/>
        </w:rPr>
        <w:t>.</w:t>
      </w:r>
      <w:r w:rsidRPr="00CE23D0">
        <w:rPr>
          <w:lang w:val="en-US"/>
        </w:rPr>
        <w:t>N</w:t>
      </w:r>
      <w:r>
        <w:rPr>
          <w:lang w:val="en-US"/>
        </w:rPr>
        <w:t>.</w:t>
      </w:r>
      <w:r w:rsidRPr="00CE23D0">
        <w:rPr>
          <w:lang w:val="en-US"/>
        </w:rPr>
        <w:t>, Opiti R</w:t>
      </w:r>
      <w:r>
        <w:rPr>
          <w:lang w:val="en-US"/>
        </w:rPr>
        <w:t>.</w:t>
      </w:r>
      <w:r w:rsidRPr="00CE23D0">
        <w:rPr>
          <w:lang w:val="en-US"/>
        </w:rPr>
        <w:t>A</w:t>
      </w:r>
      <w:r>
        <w:rPr>
          <w:lang w:val="en-US"/>
        </w:rPr>
        <w:t>.</w:t>
      </w:r>
      <w:r w:rsidRPr="00CE23D0">
        <w:rPr>
          <w:lang w:val="en-US"/>
        </w:rPr>
        <w:t>, Madueke C</w:t>
      </w:r>
      <w:r>
        <w:rPr>
          <w:lang w:val="en-US"/>
        </w:rPr>
        <w:t>.</w:t>
      </w:r>
      <w:r w:rsidRPr="00CE23D0">
        <w:rPr>
          <w:lang w:val="en-US"/>
        </w:rPr>
        <w:t>J</w:t>
      </w:r>
      <w:r>
        <w:rPr>
          <w:lang w:val="en-US"/>
        </w:rPr>
        <w:t>.</w:t>
      </w:r>
      <w:r w:rsidRPr="00CE23D0">
        <w:rPr>
          <w:lang w:val="en-US"/>
        </w:rPr>
        <w:t>, Essaghah A</w:t>
      </w:r>
      <w:r>
        <w:rPr>
          <w:lang w:val="en-US"/>
        </w:rPr>
        <w:t>.</w:t>
      </w:r>
      <w:r w:rsidRPr="00CE23D0">
        <w:rPr>
          <w:lang w:val="en-US"/>
        </w:rPr>
        <w:t>E</w:t>
      </w:r>
      <w:r>
        <w:rPr>
          <w:lang w:val="en-US"/>
        </w:rPr>
        <w:t>.</w:t>
      </w:r>
      <w:r w:rsidRPr="00CE23D0">
        <w:rPr>
          <w:lang w:val="en-US"/>
        </w:rPr>
        <w:t>A</w:t>
      </w:r>
      <w:r>
        <w:rPr>
          <w:lang w:val="en-US"/>
        </w:rPr>
        <w:t>.</w:t>
      </w:r>
      <w:r w:rsidRPr="00CE23D0">
        <w:rPr>
          <w:lang w:val="en-US"/>
        </w:rPr>
        <w:t>, Ahmed</w:t>
      </w:r>
      <w:r>
        <w:rPr>
          <w:lang w:val="en-US"/>
        </w:rPr>
        <w:t xml:space="preserve"> </w:t>
      </w:r>
      <w:r w:rsidRPr="00CE23D0">
        <w:rPr>
          <w:lang w:val="en-US"/>
        </w:rPr>
        <w:t>D</w:t>
      </w:r>
      <w:r>
        <w:rPr>
          <w:lang w:val="en-US"/>
        </w:rPr>
        <w:t>.</w:t>
      </w:r>
      <w:r w:rsidRPr="00CE23D0">
        <w:rPr>
          <w:lang w:val="en-US"/>
        </w:rPr>
        <w:t>S.,</w:t>
      </w:r>
      <w:r w:rsidRPr="006140B2">
        <w:rPr>
          <w:lang w:val="en-US"/>
        </w:rPr>
        <w:t xml:space="preserve"> Umar, H.</w:t>
      </w:r>
      <w:r>
        <w:rPr>
          <w:lang w:val="en-US"/>
        </w:rPr>
        <w:t xml:space="preserve">, </w:t>
      </w:r>
      <w:r w:rsidRPr="006140B2">
        <w:rPr>
          <w:lang w:val="en-US"/>
        </w:rPr>
        <w:t>2025</w:t>
      </w:r>
      <w:r>
        <w:rPr>
          <w:lang w:val="en-US"/>
        </w:rPr>
        <w:t>,</w:t>
      </w:r>
      <w:r w:rsidRPr="006140B2">
        <w:rPr>
          <w:lang w:val="en-US"/>
        </w:rPr>
        <w:t xml:space="preserve"> Biopolymers: an inclusive review</w:t>
      </w:r>
      <w:r>
        <w:rPr>
          <w:lang w:val="en-US"/>
        </w:rPr>
        <w:t>,</w:t>
      </w:r>
      <w:r w:rsidRPr="006140B2">
        <w:rPr>
          <w:lang w:val="en-US"/>
        </w:rPr>
        <w:t xml:space="preserve"> Hybrid Advances, 9,100418.</w:t>
      </w:r>
      <w:r>
        <w:rPr>
          <w:lang w:val="en-US"/>
        </w:rPr>
        <w:t xml:space="preserve"> </w:t>
      </w:r>
      <w:r w:rsidRPr="006140B2">
        <w:rPr>
          <w:lang w:val="en-US"/>
        </w:rPr>
        <w:t>DOI:10.1016/j.hybadv.2025.100418</w:t>
      </w:r>
    </w:p>
    <w:p w14:paraId="40983107" w14:textId="77777777" w:rsidR="00A81EDC" w:rsidRDefault="00A81EDC" w:rsidP="00A81EDC">
      <w:pPr>
        <w:pStyle w:val="CETReferencetext"/>
        <w:rPr>
          <w:lang w:val="en-US"/>
        </w:rPr>
      </w:pPr>
      <w:r w:rsidRPr="00CE2015">
        <w:rPr>
          <w:lang w:val="en-US"/>
        </w:rPr>
        <w:t>Fan Y., Yu T., Wang W., Zuo Y., Wang J., Ning J.</w:t>
      </w:r>
      <w:r>
        <w:rPr>
          <w:lang w:val="en-US"/>
        </w:rPr>
        <w:t>,</w:t>
      </w:r>
      <w:r w:rsidRPr="00CE2015">
        <w:rPr>
          <w:lang w:val="en-US"/>
        </w:rPr>
        <w:t xml:space="preserve"> 2025. LED spectral tailoring directs flavor metabolites during white tea withering</w:t>
      </w:r>
      <w:r>
        <w:rPr>
          <w:lang w:val="en-US"/>
        </w:rPr>
        <w:t xml:space="preserve">, </w:t>
      </w:r>
      <w:r w:rsidRPr="00CE23D0">
        <w:rPr>
          <w:lang w:val="en-US"/>
        </w:rPr>
        <w:t>LWT, 118316. DOI: 10.1016/j.lwt.2025.118316</w:t>
      </w:r>
    </w:p>
    <w:p w14:paraId="4FF84004" w14:textId="77777777" w:rsidR="00A81EDC" w:rsidRDefault="00A81EDC" w:rsidP="00A81EDC">
      <w:pPr>
        <w:pStyle w:val="CETReferencetext"/>
        <w:rPr>
          <w:lang w:val="en-US"/>
        </w:rPr>
      </w:pPr>
      <w:r w:rsidRPr="006140B2">
        <w:rPr>
          <w:lang w:val="en-US"/>
        </w:rPr>
        <w:t>Haslan H.A., Halim M., Rahman N.A., Sobri Z.M., Yusof M.T., Pak-Dek</w:t>
      </w:r>
      <w:r>
        <w:rPr>
          <w:lang w:val="en-US"/>
        </w:rPr>
        <w:t xml:space="preserve"> </w:t>
      </w:r>
      <w:r w:rsidRPr="006140B2">
        <w:rPr>
          <w:lang w:val="en-US"/>
        </w:rPr>
        <w:t>M</w:t>
      </w:r>
      <w:r>
        <w:rPr>
          <w:lang w:val="en-US"/>
        </w:rPr>
        <w:t>.</w:t>
      </w:r>
      <w:r w:rsidRPr="006140B2">
        <w:rPr>
          <w:lang w:val="en-US"/>
        </w:rPr>
        <w:t>S., Wasoh H.</w:t>
      </w:r>
      <w:r>
        <w:rPr>
          <w:lang w:val="en-US"/>
        </w:rPr>
        <w:t xml:space="preserve">, </w:t>
      </w:r>
      <w:r w:rsidRPr="006140B2">
        <w:rPr>
          <w:lang w:val="en-US"/>
        </w:rPr>
        <w:t>2025</w:t>
      </w:r>
      <w:r>
        <w:rPr>
          <w:lang w:val="en-US"/>
        </w:rPr>
        <w:t>a,</w:t>
      </w:r>
      <w:r w:rsidRPr="006140B2">
        <w:rPr>
          <w:lang w:val="en-US"/>
        </w:rPr>
        <w:t xml:space="preserve"> Integrated Factors Influencing Bacterial Cellulose Production in Kombucha SCOBY: Bioprocess Strategies for Enhanced Yield</w:t>
      </w:r>
      <w:r>
        <w:rPr>
          <w:lang w:val="en-US"/>
        </w:rPr>
        <w:t>,</w:t>
      </w:r>
      <w:r w:rsidRPr="006140B2">
        <w:rPr>
          <w:lang w:val="en-US"/>
        </w:rPr>
        <w:t> </w:t>
      </w:r>
      <w:r w:rsidRPr="00CE23D0">
        <w:rPr>
          <w:lang w:val="en-US"/>
        </w:rPr>
        <w:t>Journal of Biochemistry, Microbiology and Biotechnology,</w:t>
      </w:r>
      <w:r w:rsidRPr="006140B2">
        <w:rPr>
          <w:lang w:val="en-US"/>
        </w:rPr>
        <w:t> </w:t>
      </w:r>
      <w:r w:rsidRPr="00CE23D0">
        <w:rPr>
          <w:lang w:val="en-US"/>
        </w:rPr>
        <w:t>13(1),</w:t>
      </w:r>
      <w:r w:rsidRPr="006140B2">
        <w:rPr>
          <w:lang w:val="en-US"/>
        </w:rPr>
        <w:t xml:space="preserve"> 70</w:t>
      </w:r>
      <w:r>
        <w:rPr>
          <w:lang w:val="en-US"/>
        </w:rPr>
        <w:t>-</w:t>
      </w:r>
      <w:r w:rsidRPr="006140B2">
        <w:rPr>
          <w:lang w:val="en-US"/>
        </w:rPr>
        <w:t>76.</w:t>
      </w:r>
      <w:r>
        <w:rPr>
          <w:lang w:val="en-US"/>
        </w:rPr>
        <w:t xml:space="preserve"> DOI:</w:t>
      </w:r>
      <w:r w:rsidRPr="006140B2">
        <w:rPr>
          <w:lang w:val="en-US"/>
        </w:rPr>
        <w:t xml:space="preserve"> </w:t>
      </w:r>
      <w:r w:rsidRPr="00CE23D0">
        <w:rPr>
          <w:lang w:val="en-US"/>
        </w:rPr>
        <w:t>10.54987/jobimb.v13i1.1078</w:t>
      </w:r>
    </w:p>
    <w:p w14:paraId="2F8343B2" w14:textId="77777777" w:rsidR="00A81EDC" w:rsidRDefault="00A81EDC" w:rsidP="00A81EDC">
      <w:pPr>
        <w:pStyle w:val="CETReferencetext"/>
        <w:rPr>
          <w:lang w:val="en-US"/>
        </w:rPr>
      </w:pPr>
      <w:r w:rsidRPr="00CE2015">
        <w:rPr>
          <w:lang w:val="en-US"/>
        </w:rPr>
        <w:t>Haslan H.A., Halim M., Wong F.W.F., Sobri Z.M., Rahman N.A., Pak-Dek M.S., Manaf Y.N.A., Wasoh H.</w:t>
      </w:r>
      <w:r>
        <w:rPr>
          <w:lang w:val="en-US"/>
        </w:rPr>
        <w:t xml:space="preserve">, </w:t>
      </w:r>
      <w:r w:rsidRPr="00CE2015">
        <w:rPr>
          <w:lang w:val="en-US"/>
        </w:rPr>
        <w:t>2025</w:t>
      </w:r>
      <w:r>
        <w:rPr>
          <w:lang w:val="en-US"/>
        </w:rPr>
        <w:t>b</w:t>
      </w:r>
      <w:r w:rsidRPr="00CE2015">
        <w:rPr>
          <w:lang w:val="en-US"/>
        </w:rPr>
        <w:t>. Enhanced Cellulose Production in Kombucha SCOBY Through Microbial and Genetic Optimization</w:t>
      </w:r>
      <w:r>
        <w:rPr>
          <w:lang w:val="en-US"/>
        </w:rPr>
        <w:t xml:space="preserve">, </w:t>
      </w:r>
      <w:r w:rsidRPr="00CE2015">
        <w:rPr>
          <w:lang w:val="en-US"/>
        </w:rPr>
        <w:t xml:space="preserve">Journal of Environmental Microbiology and Toxicology, 13(1), 39–46. </w:t>
      </w:r>
      <w:r>
        <w:rPr>
          <w:lang w:val="en-US"/>
        </w:rPr>
        <w:t xml:space="preserve">DOI: </w:t>
      </w:r>
      <w:r w:rsidRPr="00CE2015">
        <w:rPr>
          <w:lang w:val="en-US"/>
        </w:rPr>
        <w:t>10.54987/jemat.v13i1.1110</w:t>
      </w:r>
    </w:p>
    <w:p w14:paraId="6A76D26F" w14:textId="77777777" w:rsidR="00A81EDC" w:rsidRDefault="00A81EDC" w:rsidP="00A81EDC">
      <w:pPr>
        <w:pStyle w:val="CETReferencetext"/>
        <w:rPr>
          <w:lang w:val="en-US"/>
        </w:rPr>
      </w:pPr>
      <w:r w:rsidRPr="006140B2">
        <w:rPr>
          <w:lang w:val="en-US"/>
        </w:rPr>
        <w:t>Joseph T.M.</w:t>
      </w:r>
      <w:r>
        <w:rPr>
          <w:lang w:val="en-US"/>
        </w:rPr>
        <w:t>,</w:t>
      </w:r>
      <w:r w:rsidRPr="006140B2">
        <w:rPr>
          <w:lang w:val="en-US"/>
        </w:rPr>
        <w:t xml:space="preserve"> Unni A.B.</w:t>
      </w:r>
      <w:r>
        <w:rPr>
          <w:lang w:val="en-US"/>
        </w:rPr>
        <w:t>,</w:t>
      </w:r>
      <w:r w:rsidRPr="006140B2">
        <w:rPr>
          <w:lang w:val="en-US"/>
        </w:rPr>
        <w:t xml:space="preserve"> Joshy K.S.</w:t>
      </w:r>
      <w:r>
        <w:rPr>
          <w:lang w:val="en-US"/>
        </w:rPr>
        <w:t>,</w:t>
      </w:r>
      <w:r w:rsidRPr="006140B2">
        <w:rPr>
          <w:lang w:val="en-US"/>
        </w:rPr>
        <w:t xml:space="preserve"> Kar Mahapatra D.</w:t>
      </w:r>
      <w:r>
        <w:rPr>
          <w:lang w:val="en-US"/>
        </w:rPr>
        <w:t>,</w:t>
      </w:r>
      <w:r w:rsidRPr="006140B2">
        <w:rPr>
          <w:lang w:val="en-US"/>
        </w:rPr>
        <w:t xml:space="preserve"> Haponiuk</w:t>
      </w:r>
      <w:r>
        <w:rPr>
          <w:lang w:val="en-US"/>
        </w:rPr>
        <w:t xml:space="preserve"> </w:t>
      </w:r>
      <w:r w:rsidRPr="006140B2">
        <w:rPr>
          <w:lang w:val="en-US"/>
        </w:rPr>
        <w:t>J.</w:t>
      </w:r>
      <w:r>
        <w:rPr>
          <w:lang w:val="en-US"/>
        </w:rPr>
        <w:t>,</w:t>
      </w:r>
      <w:r w:rsidRPr="006140B2">
        <w:rPr>
          <w:lang w:val="en-US"/>
        </w:rPr>
        <w:t xml:space="preserve"> Thomas S.</w:t>
      </w:r>
      <w:r>
        <w:rPr>
          <w:lang w:val="en-US"/>
        </w:rPr>
        <w:t>, 2023,</w:t>
      </w:r>
      <w:r w:rsidRPr="006140B2">
        <w:rPr>
          <w:lang w:val="en-US"/>
        </w:rPr>
        <w:t xml:space="preserve"> Emerging Bio-Based Polymers from Lab to Market: Current Strategies, Market Dynamics and Research Trends, </w:t>
      </w:r>
      <w:r w:rsidRPr="006140B2">
        <w:rPr>
          <w:i/>
          <w:iCs/>
          <w:lang w:val="en-US"/>
        </w:rPr>
        <w:t>9</w:t>
      </w:r>
      <w:r w:rsidRPr="006140B2">
        <w:rPr>
          <w:lang w:val="en-US"/>
        </w:rPr>
        <w:t xml:space="preserve">, 30. </w:t>
      </w:r>
      <w:r w:rsidRPr="00EF0770">
        <w:rPr>
          <w:lang w:val="en-US"/>
        </w:rPr>
        <w:t>DOI: 10.3390/c9010030</w:t>
      </w:r>
    </w:p>
    <w:p w14:paraId="6A808611" w14:textId="02DB36B8" w:rsidR="006E66A8" w:rsidRDefault="00F00D67" w:rsidP="00A81EDC">
      <w:pPr>
        <w:pStyle w:val="CETReferencetext"/>
        <w:rPr>
          <w:lang w:val="en-US"/>
        </w:rPr>
      </w:pPr>
      <w:r w:rsidRPr="00F00D67">
        <w:t>Nguyen L</w:t>
      </w:r>
      <w:r>
        <w:t>.</w:t>
      </w:r>
      <w:r w:rsidRPr="00F00D67">
        <w:t>N</w:t>
      </w:r>
      <w:r>
        <w:t>.</w:t>
      </w:r>
      <w:r w:rsidRPr="00F00D67">
        <w:t>P</w:t>
      </w:r>
      <w:r>
        <w:t>.</w:t>
      </w:r>
      <w:r w:rsidRPr="00F00D67">
        <w:t>, Lac D</w:t>
      </w:r>
      <w:r>
        <w:t>.</w:t>
      </w:r>
      <w:r w:rsidRPr="00F00D67">
        <w:t>H</w:t>
      </w:r>
      <w:r>
        <w:t>.</w:t>
      </w:r>
      <w:r w:rsidRPr="00F00D67">
        <w:t>, Le Tan N</w:t>
      </w:r>
      <w:r>
        <w:t>.</w:t>
      </w:r>
      <w:r w:rsidRPr="00F00D67">
        <w:t>T</w:t>
      </w:r>
      <w:r>
        <w:t>.</w:t>
      </w:r>
      <w:r w:rsidRPr="00F00D67">
        <w:t>, Nguyen D</w:t>
      </w:r>
      <w:r>
        <w:t>.</w:t>
      </w:r>
      <w:r w:rsidRPr="00F00D67">
        <w:t>Q.</w:t>
      </w:r>
      <w:r w:rsidR="006E66A8">
        <w:t>, 2024,</w:t>
      </w:r>
      <w:r w:rsidR="006E66A8" w:rsidRPr="006E66A8">
        <w:t xml:space="preserve"> Valorization of Fermentation Waste: Eco-Friendly Synthesis of Antimicrobial Bacterial Cellulose-Silver Nanocomposites Using Post-Fermentation Solution as a Reducing Agent</w:t>
      </w:r>
      <w:r>
        <w:t>,</w:t>
      </w:r>
      <w:r w:rsidR="006E66A8" w:rsidRPr="006E66A8">
        <w:t> </w:t>
      </w:r>
      <w:r w:rsidR="006E66A8" w:rsidRPr="00F00D67">
        <w:t>Chemical Engineering Transactions</w:t>
      </w:r>
      <w:r>
        <w:t>,</w:t>
      </w:r>
      <w:r w:rsidR="006E66A8" w:rsidRPr="006E66A8">
        <w:t> 113</w:t>
      </w:r>
      <w:r>
        <w:t>,</w:t>
      </w:r>
      <w:r w:rsidR="006E66A8" w:rsidRPr="006E66A8">
        <w:t xml:space="preserve"> 277-282.</w:t>
      </w:r>
      <w:r>
        <w:t xml:space="preserve"> DOI: </w:t>
      </w:r>
      <w:r w:rsidRPr="00F00D67">
        <w:t>10.3303/CET24113047</w:t>
      </w:r>
    </w:p>
    <w:p w14:paraId="381D304D" w14:textId="18DCD267" w:rsidR="00A81EDC" w:rsidRDefault="00A81EDC" w:rsidP="00A81EDC">
      <w:pPr>
        <w:pStyle w:val="CETReferencetext"/>
        <w:rPr>
          <w:lang w:val="en-US"/>
        </w:rPr>
      </w:pPr>
      <w:r w:rsidRPr="00EF0770">
        <w:rPr>
          <w:lang w:val="en-US"/>
        </w:rPr>
        <w:t>Lee J.H., Velmurugan P., Park J.H., Chang W.S., Park Y.J., Oh B.T.</w:t>
      </w:r>
      <w:r>
        <w:rPr>
          <w:lang w:val="en-US"/>
        </w:rPr>
        <w:t xml:space="preserve">, 2018, </w:t>
      </w:r>
      <w:r w:rsidRPr="00CE2015">
        <w:rPr>
          <w:lang w:val="en-US"/>
        </w:rPr>
        <w:t>Photo-fermentation of purple sweet potato (</w:t>
      </w:r>
      <w:r w:rsidRPr="00CE2015">
        <w:rPr>
          <w:i/>
          <w:iCs/>
          <w:lang w:val="en-US"/>
        </w:rPr>
        <w:t>Ipomoea batatas</w:t>
      </w:r>
      <w:r w:rsidRPr="00CE2015">
        <w:rPr>
          <w:lang w:val="en-US"/>
        </w:rPr>
        <w:t> L.) using probiotic bacteria and LED lights to yield functionalized bioactive compounds</w:t>
      </w:r>
      <w:r w:rsidRPr="00EF0770">
        <w:rPr>
          <w:lang w:val="en-US"/>
        </w:rPr>
        <w:t>, 3 Biotech, 8, 300</w:t>
      </w:r>
      <w:r>
        <w:rPr>
          <w:lang w:val="en-US"/>
        </w:rPr>
        <w:t xml:space="preserve">. DOI: </w:t>
      </w:r>
      <w:r w:rsidRPr="00EF0770">
        <w:rPr>
          <w:lang w:val="en-US"/>
        </w:rPr>
        <w:t>10.1007/s13205-018-1327-7</w:t>
      </w:r>
    </w:p>
    <w:p w14:paraId="124BD9C3" w14:textId="77777777" w:rsidR="00A81EDC" w:rsidRDefault="00A81EDC" w:rsidP="00A81EDC">
      <w:pPr>
        <w:pStyle w:val="CETReferencetext"/>
        <w:rPr>
          <w:lang w:val="en-US"/>
        </w:rPr>
      </w:pPr>
      <w:r w:rsidRPr="00EF0770">
        <w:rPr>
          <w:lang w:val="en-US"/>
        </w:rPr>
        <w:t>Płoska J., Garbowska M., Ścibisz I., Stasiak-Różańska L.</w:t>
      </w:r>
      <w:r>
        <w:rPr>
          <w:lang w:val="en-US"/>
        </w:rPr>
        <w:t xml:space="preserve">, 2025, </w:t>
      </w:r>
      <w:r w:rsidRPr="00CE2015">
        <w:rPr>
          <w:lang w:val="en-US"/>
        </w:rPr>
        <w:t>Study on obtaining bacterial cellulose by </w:t>
      </w:r>
      <w:r w:rsidRPr="00CE2015">
        <w:rPr>
          <w:i/>
          <w:iCs/>
          <w:lang w:val="en-US"/>
        </w:rPr>
        <w:t>Komagataeibacter xylinus</w:t>
      </w:r>
      <w:r w:rsidRPr="00CE2015">
        <w:rPr>
          <w:lang w:val="en-US"/>
        </w:rPr>
        <w:t> in co-culture with lactic acid bacteria in whey</w:t>
      </w:r>
      <w:r w:rsidRPr="00EF0770">
        <w:rPr>
          <w:lang w:val="en-US"/>
        </w:rPr>
        <w:t>, Applied Microbiology and Biotechnology, 109, 191.</w:t>
      </w:r>
      <w:r>
        <w:rPr>
          <w:lang w:val="en-US"/>
        </w:rPr>
        <w:t xml:space="preserve"> DOI:</w:t>
      </w:r>
      <w:r w:rsidRPr="00EF0770">
        <w:rPr>
          <w:lang w:val="en-US"/>
        </w:rPr>
        <w:t xml:space="preserve"> 10.1007/s00253-025-13582-3</w:t>
      </w:r>
    </w:p>
    <w:p w14:paraId="7C13921B" w14:textId="77777777" w:rsidR="00A81EDC" w:rsidRDefault="00A81EDC" w:rsidP="00A81EDC">
      <w:pPr>
        <w:pStyle w:val="CETReferencetext"/>
        <w:rPr>
          <w:lang w:val="en-US"/>
        </w:rPr>
      </w:pPr>
      <w:r w:rsidRPr="004F1C95">
        <w:rPr>
          <w:lang w:val="en-US"/>
        </w:rPr>
        <w:t>Qian H.</w:t>
      </w:r>
      <w:r>
        <w:rPr>
          <w:lang w:val="en-US"/>
        </w:rPr>
        <w:t>,</w:t>
      </w:r>
      <w:r w:rsidRPr="004F1C95">
        <w:rPr>
          <w:lang w:val="en-US"/>
        </w:rPr>
        <w:t xml:space="preserve"> Liu J.</w:t>
      </w:r>
      <w:r>
        <w:rPr>
          <w:lang w:val="en-US"/>
        </w:rPr>
        <w:t>,</w:t>
      </w:r>
      <w:r w:rsidRPr="004F1C95">
        <w:rPr>
          <w:lang w:val="en-US"/>
        </w:rPr>
        <w:t xml:space="preserve"> Wang X.</w:t>
      </w:r>
      <w:r>
        <w:rPr>
          <w:lang w:val="en-US"/>
        </w:rPr>
        <w:t>,</w:t>
      </w:r>
      <w:r w:rsidRPr="004F1C95">
        <w:rPr>
          <w:lang w:val="en-US"/>
        </w:rPr>
        <w:t xml:space="preserve"> Pei W.</w:t>
      </w:r>
      <w:r>
        <w:rPr>
          <w:lang w:val="en-US"/>
        </w:rPr>
        <w:t>,</w:t>
      </w:r>
      <w:r w:rsidRPr="004F1C95">
        <w:rPr>
          <w:lang w:val="en-US"/>
        </w:rPr>
        <w:t xml:space="preserve"> Fu C.</w:t>
      </w:r>
      <w:r>
        <w:rPr>
          <w:lang w:val="en-US"/>
        </w:rPr>
        <w:t>,</w:t>
      </w:r>
      <w:r w:rsidRPr="004F1C95">
        <w:rPr>
          <w:lang w:val="en-US"/>
        </w:rPr>
        <w:t xml:space="preserve"> Ma M.</w:t>
      </w:r>
      <w:r>
        <w:rPr>
          <w:lang w:val="en-US"/>
        </w:rPr>
        <w:t>,</w:t>
      </w:r>
      <w:r w:rsidRPr="004F1C95">
        <w:rPr>
          <w:lang w:val="en-US"/>
        </w:rPr>
        <w:t xml:space="preserve"> Huang C.</w:t>
      </w:r>
      <w:r>
        <w:rPr>
          <w:lang w:val="en-US"/>
        </w:rPr>
        <w:t>, 2023,</w:t>
      </w:r>
      <w:r w:rsidRPr="004F1C95">
        <w:rPr>
          <w:lang w:val="en-US"/>
        </w:rPr>
        <w:t xml:space="preserve"> The state-of-the-art application of functional bacterial cellulose-based materials in biomedical fields</w:t>
      </w:r>
      <w:r w:rsidRPr="005B19F5">
        <w:rPr>
          <w:lang w:val="en-US"/>
        </w:rPr>
        <w:t>, Carbohydrate Polymers,</w:t>
      </w:r>
      <w:r w:rsidRPr="00EF0770">
        <w:rPr>
          <w:lang w:val="en-US"/>
        </w:rPr>
        <w:t xml:space="preserve"> 300, 120252. DOI: 10.1016/j.carbpol.2022.120252.</w:t>
      </w:r>
    </w:p>
    <w:p w14:paraId="182EA19B" w14:textId="77777777" w:rsidR="00A81EDC" w:rsidRDefault="00A81EDC" w:rsidP="00A81EDC">
      <w:pPr>
        <w:pStyle w:val="CETReferencetext"/>
        <w:rPr>
          <w:lang w:val="en-US"/>
        </w:rPr>
      </w:pPr>
      <w:r w:rsidRPr="005B19F5">
        <w:rPr>
          <w:lang w:val="en-US"/>
        </w:rPr>
        <w:t>Raghavendran V., Asare E., Roy I., 2020</w:t>
      </w:r>
      <w:r>
        <w:rPr>
          <w:lang w:val="en-US"/>
        </w:rPr>
        <w:t>,</w:t>
      </w:r>
      <w:r w:rsidRPr="005B19F5">
        <w:rPr>
          <w:lang w:val="en-US"/>
        </w:rPr>
        <w:t xml:space="preserve"> </w:t>
      </w:r>
      <w:r w:rsidRPr="006140B2">
        <w:rPr>
          <w:lang w:val="en-US"/>
        </w:rPr>
        <w:t>Bacterial cellulose: Biosynthesis, production, and applications</w:t>
      </w:r>
      <w:r>
        <w:rPr>
          <w:lang w:val="en-US"/>
        </w:rPr>
        <w:t>,</w:t>
      </w:r>
      <w:r w:rsidRPr="006140B2">
        <w:rPr>
          <w:lang w:val="en-US"/>
        </w:rPr>
        <w:t xml:space="preserve"> </w:t>
      </w:r>
      <w:r w:rsidRPr="005B19F5">
        <w:rPr>
          <w:lang w:val="en-US"/>
        </w:rPr>
        <w:t>In </w:t>
      </w:r>
      <w:r w:rsidRPr="005B19F5">
        <w:rPr>
          <w:i/>
          <w:iCs/>
          <w:lang w:val="en-US"/>
        </w:rPr>
        <w:t>Advances in microbial physiology</w:t>
      </w:r>
      <w:r>
        <w:rPr>
          <w:lang w:val="en-US"/>
        </w:rPr>
        <w:t xml:space="preserve">, </w:t>
      </w:r>
      <w:r w:rsidRPr="005B19F5">
        <w:rPr>
          <w:lang w:val="en-US"/>
        </w:rPr>
        <w:t>Academic Press</w:t>
      </w:r>
      <w:r>
        <w:rPr>
          <w:lang w:val="en-US"/>
        </w:rPr>
        <w:t xml:space="preserve">, </w:t>
      </w:r>
      <w:r w:rsidRPr="005B19F5">
        <w:rPr>
          <w:lang w:val="en-US"/>
        </w:rPr>
        <w:t>77,</w:t>
      </w:r>
      <w:r>
        <w:rPr>
          <w:lang w:val="en-US"/>
        </w:rPr>
        <w:t xml:space="preserve"> </w:t>
      </w:r>
      <w:r w:rsidRPr="005B19F5">
        <w:rPr>
          <w:lang w:val="en-US"/>
        </w:rPr>
        <w:t>89-138.</w:t>
      </w:r>
      <w:r>
        <w:rPr>
          <w:lang w:val="en-US"/>
        </w:rPr>
        <w:t xml:space="preserve"> </w:t>
      </w:r>
      <w:r w:rsidRPr="00A81EDC">
        <w:rPr>
          <w:lang w:val="en-US"/>
        </w:rPr>
        <w:t>DOI: 10.1016/bs.ampbs.2020.07.002</w:t>
      </w:r>
    </w:p>
    <w:p w14:paraId="6983782B" w14:textId="3FFF816D" w:rsidR="00A81EDC" w:rsidRDefault="00A81EDC" w:rsidP="00A81EDC">
      <w:pPr>
        <w:pStyle w:val="CETReferencetext"/>
        <w:rPr>
          <w:lang w:val="en-US"/>
        </w:rPr>
      </w:pPr>
      <w:r w:rsidRPr="005B19F5">
        <w:rPr>
          <w:lang w:val="en-US"/>
        </w:rPr>
        <w:t xml:space="preserve">Rodrigues P., Khelifa H., Schreiner T.B., Halla N., Barreiro M.F.F., Crugeira P.J., 2025, </w:t>
      </w:r>
      <w:r w:rsidRPr="00CE2015">
        <w:rPr>
          <w:lang w:val="en-US"/>
        </w:rPr>
        <w:t>LED light emission and olive pomace-rich culture medium in potentiating bacterial cellulose synthesis and improving biopoly</w:t>
      </w:r>
      <w:r w:rsidRPr="005B19F5">
        <w:rPr>
          <w:lang w:val="en-US"/>
        </w:rPr>
        <w:t>mer properties, Journal of Photochemistry and Photobiology B: Biology, 113287.</w:t>
      </w:r>
      <w:r w:rsidRPr="00CE2015">
        <w:rPr>
          <w:lang w:val="en-US"/>
        </w:rPr>
        <w:t xml:space="preserve"> DOI: </w:t>
      </w:r>
      <w:r w:rsidRPr="00A81EDC">
        <w:rPr>
          <w:lang w:val="en-US"/>
        </w:rPr>
        <w:t>10.1016/j.jphotobiol.2025.113287</w:t>
      </w:r>
    </w:p>
    <w:p w14:paraId="5EBDC205" w14:textId="77777777" w:rsidR="00A81EDC" w:rsidRDefault="00A81EDC" w:rsidP="00A81EDC">
      <w:pPr>
        <w:pStyle w:val="CETReferencetext"/>
        <w:rPr>
          <w:lang w:val="en-US"/>
        </w:rPr>
      </w:pPr>
      <w:r w:rsidRPr="006140B2">
        <w:rPr>
          <w:lang w:val="en-US"/>
        </w:rPr>
        <w:t>Santos M.R.</w:t>
      </w:r>
      <w:r>
        <w:rPr>
          <w:lang w:val="en-US"/>
        </w:rPr>
        <w:t>,</w:t>
      </w:r>
      <w:r w:rsidRPr="006140B2">
        <w:rPr>
          <w:lang w:val="en-US"/>
        </w:rPr>
        <w:t xml:space="preserve"> Araújo G.P.</w:t>
      </w:r>
      <w:r>
        <w:rPr>
          <w:lang w:val="en-US"/>
        </w:rPr>
        <w:t>,</w:t>
      </w:r>
      <w:r w:rsidRPr="006140B2">
        <w:rPr>
          <w:lang w:val="en-US"/>
        </w:rPr>
        <w:t xml:space="preserve"> Durval I.J.B.</w:t>
      </w:r>
      <w:r>
        <w:rPr>
          <w:lang w:val="en-US"/>
        </w:rPr>
        <w:t>,</w:t>
      </w:r>
      <w:r w:rsidRPr="006140B2">
        <w:rPr>
          <w:lang w:val="en-US"/>
        </w:rPr>
        <w:t xml:space="preserve"> Medeiros A.D.M.</w:t>
      </w:r>
      <w:r>
        <w:rPr>
          <w:lang w:val="en-US"/>
        </w:rPr>
        <w:t>,</w:t>
      </w:r>
      <w:r w:rsidRPr="006140B2">
        <w:rPr>
          <w:lang w:val="en-US"/>
        </w:rPr>
        <w:t xml:space="preserve"> Silva Júnior C.J.G.</w:t>
      </w:r>
      <w:r>
        <w:rPr>
          <w:lang w:val="en-US"/>
        </w:rPr>
        <w:t>,</w:t>
      </w:r>
      <w:r w:rsidRPr="006140B2">
        <w:rPr>
          <w:lang w:val="en-US"/>
        </w:rPr>
        <w:t xml:space="preserve"> Converti A.</w:t>
      </w:r>
      <w:r>
        <w:rPr>
          <w:lang w:val="en-US"/>
        </w:rPr>
        <w:t>,</w:t>
      </w:r>
      <w:r w:rsidRPr="006140B2">
        <w:rPr>
          <w:lang w:val="en-US"/>
        </w:rPr>
        <w:t xml:space="preserve"> Costa A.F.S.</w:t>
      </w:r>
      <w:r>
        <w:rPr>
          <w:lang w:val="en-US"/>
        </w:rPr>
        <w:t>,</w:t>
      </w:r>
      <w:r w:rsidRPr="006140B2">
        <w:rPr>
          <w:lang w:val="en-US"/>
        </w:rPr>
        <w:t xml:space="preserve"> Sarubbo L.A</w:t>
      </w:r>
      <w:r>
        <w:rPr>
          <w:lang w:val="en-US"/>
        </w:rPr>
        <w:t>., 2026,</w:t>
      </w:r>
      <w:r w:rsidRPr="006140B2">
        <w:rPr>
          <w:lang w:val="en-US"/>
        </w:rPr>
        <w:t xml:space="preserve"> Impact of Whey and Sucrose Concentrations on Bacterial Cellulose Characteristics for Functional Food Applications</w:t>
      </w:r>
      <w:r>
        <w:rPr>
          <w:lang w:val="en-US"/>
        </w:rPr>
        <w:t>,</w:t>
      </w:r>
      <w:r w:rsidRPr="006140B2">
        <w:rPr>
          <w:lang w:val="en-US"/>
        </w:rPr>
        <w:t xml:space="preserve"> </w:t>
      </w:r>
      <w:r w:rsidRPr="005B19F5">
        <w:rPr>
          <w:lang w:val="en-US"/>
        </w:rPr>
        <w:t>Foods</w:t>
      </w:r>
      <w:r>
        <w:rPr>
          <w:lang w:val="en-US"/>
        </w:rPr>
        <w:t>,</w:t>
      </w:r>
      <w:r w:rsidRPr="005B19F5">
        <w:rPr>
          <w:lang w:val="en-US"/>
        </w:rPr>
        <w:t xml:space="preserve"> 15, 729. </w:t>
      </w:r>
      <w:r>
        <w:rPr>
          <w:lang w:val="en-US"/>
        </w:rPr>
        <w:t xml:space="preserve">DOI: </w:t>
      </w:r>
      <w:r w:rsidRPr="005B19F5">
        <w:rPr>
          <w:lang w:val="en-US"/>
        </w:rPr>
        <w:t>10.3390/foods15040729</w:t>
      </w:r>
    </w:p>
    <w:p w14:paraId="149C04D8" w14:textId="77777777" w:rsidR="00A81EDC" w:rsidRDefault="00A81EDC" w:rsidP="00A81EDC">
      <w:pPr>
        <w:pStyle w:val="CETReferencetext"/>
        <w:rPr>
          <w:lang w:val="en-US"/>
        </w:rPr>
      </w:pPr>
      <w:r w:rsidRPr="005B19F5">
        <w:rPr>
          <w:lang w:val="en-US"/>
        </w:rPr>
        <w:t xml:space="preserve">Santos, M.R., Durval I.J.B., Medeiros A.D.M., Silva Júnior C.J.G., Converti A., </w:t>
      </w:r>
      <w:r w:rsidRPr="006140B2">
        <w:rPr>
          <w:lang w:val="en-US"/>
        </w:rPr>
        <w:t>Costa A.F.S.</w:t>
      </w:r>
      <w:r>
        <w:rPr>
          <w:lang w:val="en-US"/>
        </w:rPr>
        <w:t>,</w:t>
      </w:r>
      <w:r w:rsidRPr="006140B2">
        <w:rPr>
          <w:lang w:val="en-US"/>
        </w:rPr>
        <w:t xml:space="preserve"> Sarubbo L.A.</w:t>
      </w:r>
      <w:r>
        <w:rPr>
          <w:lang w:val="en-US"/>
        </w:rPr>
        <w:t>,</w:t>
      </w:r>
      <w:r w:rsidRPr="006140B2">
        <w:rPr>
          <w:lang w:val="en-US"/>
        </w:rPr>
        <w:t xml:space="preserve"> </w:t>
      </w:r>
      <w:r>
        <w:rPr>
          <w:lang w:val="en-US"/>
        </w:rPr>
        <w:t xml:space="preserve">2024, </w:t>
      </w:r>
      <w:r w:rsidRPr="006140B2">
        <w:rPr>
          <w:lang w:val="en-US"/>
        </w:rPr>
        <w:t xml:space="preserve">Biotechnology in Food Packaging Using Bacterial Cellulose. </w:t>
      </w:r>
      <w:r w:rsidRPr="005B19F5">
        <w:rPr>
          <w:lang w:val="en-US"/>
        </w:rPr>
        <w:t>Foods, 13, 3327.</w:t>
      </w:r>
      <w:r>
        <w:rPr>
          <w:lang w:val="en-US"/>
        </w:rPr>
        <w:t xml:space="preserve"> DOI:</w:t>
      </w:r>
      <w:r w:rsidRPr="005B19F5">
        <w:rPr>
          <w:lang w:val="en-US"/>
        </w:rPr>
        <w:t xml:space="preserve"> 10.3390/foods13203327</w:t>
      </w:r>
    </w:p>
    <w:p w14:paraId="724FF215" w14:textId="77777777" w:rsidR="00A81EDC" w:rsidRDefault="00A81EDC" w:rsidP="00A81EDC">
      <w:pPr>
        <w:pStyle w:val="CETReferencetext"/>
        <w:rPr>
          <w:lang w:val="en-US"/>
        </w:rPr>
      </w:pPr>
      <w:r w:rsidRPr="006140B2">
        <w:rPr>
          <w:lang w:val="en-US"/>
        </w:rPr>
        <w:t>Silva M.G.C.</w:t>
      </w:r>
      <w:r>
        <w:rPr>
          <w:lang w:val="en-US"/>
        </w:rPr>
        <w:t>,</w:t>
      </w:r>
      <w:r w:rsidRPr="006140B2">
        <w:rPr>
          <w:lang w:val="en-US"/>
        </w:rPr>
        <w:t xml:space="preserve"> Medeiros A.O.</w:t>
      </w:r>
      <w:r>
        <w:rPr>
          <w:lang w:val="en-US"/>
        </w:rPr>
        <w:t>,</w:t>
      </w:r>
      <w:r w:rsidRPr="006140B2">
        <w:rPr>
          <w:lang w:val="en-US"/>
        </w:rPr>
        <w:t xml:space="preserve"> Roque B.A.C.</w:t>
      </w:r>
      <w:r>
        <w:rPr>
          <w:lang w:val="en-US"/>
        </w:rPr>
        <w:t>,</w:t>
      </w:r>
      <w:r w:rsidRPr="006140B2">
        <w:rPr>
          <w:lang w:val="en-US"/>
        </w:rPr>
        <w:t xml:space="preserve"> Santos M.R.</w:t>
      </w:r>
      <w:r>
        <w:rPr>
          <w:lang w:val="en-US"/>
        </w:rPr>
        <w:t>,</w:t>
      </w:r>
      <w:r w:rsidRPr="006140B2">
        <w:rPr>
          <w:lang w:val="en-US"/>
        </w:rPr>
        <w:t xml:space="preserve"> Bezerra K.G.O.</w:t>
      </w:r>
      <w:r>
        <w:rPr>
          <w:lang w:val="en-US"/>
        </w:rPr>
        <w:t>,</w:t>
      </w:r>
      <w:r w:rsidRPr="006140B2">
        <w:rPr>
          <w:lang w:val="en-US"/>
        </w:rPr>
        <w:t xml:space="preserve"> Almeida F.C.G.</w:t>
      </w:r>
      <w:r>
        <w:rPr>
          <w:lang w:val="en-US"/>
        </w:rPr>
        <w:t>,</w:t>
      </w:r>
      <w:r w:rsidRPr="006140B2">
        <w:rPr>
          <w:lang w:val="en-US"/>
        </w:rPr>
        <w:t xml:space="preserve"> Sarubbo L.A.</w:t>
      </w:r>
      <w:r>
        <w:rPr>
          <w:lang w:val="en-US"/>
        </w:rPr>
        <w:t>,</w:t>
      </w:r>
      <w:r w:rsidRPr="006140B2">
        <w:rPr>
          <w:lang w:val="en-US"/>
        </w:rPr>
        <w:t xml:space="preserve"> </w:t>
      </w:r>
      <w:r>
        <w:rPr>
          <w:lang w:val="en-US"/>
        </w:rPr>
        <w:t xml:space="preserve">2026, </w:t>
      </w:r>
      <w:r w:rsidRPr="006140B2">
        <w:rPr>
          <w:lang w:val="en-US"/>
        </w:rPr>
        <w:t>Next-Generation Bioinputs: A Systematic Review of Biosurfactants in Sustainable Agriculture and Research Frontiers with Bacterial Cellulose</w:t>
      </w:r>
      <w:r>
        <w:rPr>
          <w:lang w:val="en-US"/>
        </w:rPr>
        <w:t>,</w:t>
      </w:r>
      <w:r w:rsidRPr="006140B2">
        <w:rPr>
          <w:lang w:val="en-US"/>
        </w:rPr>
        <w:t xml:space="preserve"> Processes, 14, 398.</w:t>
      </w:r>
      <w:r>
        <w:rPr>
          <w:lang w:val="en-US"/>
        </w:rPr>
        <w:t xml:space="preserve"> DOI:</w:t>
      </w:r>
      <w:r w:rsidRPr="006140B2">
        <w:rPr>
          <w:lang w:val="en-US"/>
        </w:rPr>
        <w:t xml:space="preserve"> </w:t>
      </w:r>
      <w:r w:rsidRPr="005B19F5">
        <w:rPr>
          <w:lang w:val="en-US"/>
        </w:rPr>
        <w:t>10.3390/pr14030398</w:t>
      </w:r>
    </w:p>
    <w:p w14:paraId="0FA2CFFE" w14:textId="77777777" w:rsidR="00A81EDC" w:rsidRDefault="00A81EDC" w:rsidP="00A81EDC">
      <w:pPr>
        <w:pStyle w:val="CETReferencetext"/>
        <w:rPr>
          <w:lang w:val="en-US"/>
        </w:rPr>
      </w:pPr>
      <w:r w:rsidRPr="006140B2">
        <w:rPr>
          <w:lang w:val="en-US"/>
        </w:rPr>
        <w:t>Sudalaimuthu</w:t>
      </w:r>
      <w:r>
        <w:rPr>
          <w:lang w:val="en-US"/>
        </w:rPr>
        <w:t xml:space="preserve"> </w:t>
      </w:r>
      <w:r w:rsidRPr="006140B2">
        <w:rPr>
          <w:lang w:val="en-US"/>
        </w:rPr>
        <w:t>P.</w:t>
      </w:r>
      <w:r>
        <w:rPr>
          <w:lang w:val="en-US"/>
        </w:rPr>
        <w:t>,</w:t>
      </w:r>
      <w:r w:rsidRPr="006140B2">
        <w:rPr>
          <w:lang w:val="en-US"/>
        </w:rPr>
        <w:t xml:space="preserve"> Sathyamurthy R.</w:t>
      </w:r>
      <w:r>
        <w:rPr>
          <w:lang w:val="en-US"/>
        </w:rPr>
        <w:t>,</w:t>
      </w:r>
      <w:r w:rsidRPr="006140B2">
        <w:rPr>
          <w:lang w:val="en-US"/>
        </w:rPr>
        <w:t xml:space="preserve"> Elsheikh A.H.</w:t>
      </w:r>
      <w:r>
        <w:rPr>
          <w:lang w:val="en-US"/>
        </w:rPr>
        <w:t>,</w:t>
      </w:r>
      <w:r w:rsidRPr="006140B2">
        <w:rPr>
          <w:lang w:val="en-US"/>
        </w:rPr>
        <w:t xml:space="preserve"> Jameel A.G.A.</w:t>
      </w:r>
      <w:r>
        <w:rPr>
          <w:lang w:val="en-US"/>
        </w:rPr>
        <w:t>, 2025,</w:t>
      </w:r>
      <w:r w:rsidRPr="006140B2">
        <w:rPr>
          <w:lang w:val="en-US"/>
        </w:rPr>
        <w:t xml:space="preserve"> Plastic waste as an alternative sustainable fuel in internal combustion (IC) engines – A comprehensive </w:t>
      </w:r>
      <w:r w:rsidRPr="005B19F5">
        <w:rPr>
          <w:lang w:val="en-US"/>
        </w:rPr>
        <w:t>review, Results Eng., 26, 104644</w:t>
      </w:r>
      <w:r w:rsidRPr="006140B2">
        <w:rPr>
          <w:lang w:val="en-US"/>
        </w:rPr>
        <w:t>. DOI: 10.1016/j.rineng.2025.104644</w:t>
      </w:r>
    </w:p>
    <w:p w14:paraId="005D3849" w14:textId="77777777" w:rsidR="00A81EDC" w:rsidRDefault="00A81EDC" w:rsidP="00A81EDC">
      <w:pPr>
        <w:pStyle w:val="CETReferencetext"/>
        <w:rPr>
          <w:lang w:val="en-US"/>
        </w:rPr>
      </w:pPr>
      <w:r w:rsidRPr="005B19F5">
        <w:rPr>
          <w:lang w:val="en-US"/>
        </w:rPr>
        <w:t>Sumini M., Andrade G.J.S., Tischer C.A., Kobayashi R.K.T., Nakazato, G.</w:t>
      </w:r>
      <w:r>
        <w:rPr>
          <w:lang w:val="en-US"/>
        </w:rPr>
        <w:t>, 2025,</w:t>
      </w:r>
      <w:r w:rsidRPr="005B19F5">
        <w:rPr>
          <w:lang w:val="en-US"/>
        </w:rPr>
        <w:t> </w:t>
      </w:r>
      <w:r w:rsidRPr="006140B2">
        <w:rPr>
          <w:lang w:val="en-US"/>
        </w:rPr>
        <w:t>Production of bacterial cellulose by </w:t>
      </w:r>
      <w:r w:rsidRPr="006140B2">
        <w:rPr>
          <w:i/>
          <w:iCs/>
          <w:lang w:val="en-US"/>
        </w:rPr>
        <w:t>Komagataeibacter xylinus</w:t>
      </w:r>
      <w:r w:rsidRPr="006140B2">
        <w:rPr>
          <w:lang w:val="en-US"/>
        </w:rPr>
        <w:t>: biochemistry, synthesis and applications</w:t>
      </w:r>
      <w:r>
        <w:rPr>
          <w:lang w:val="en-US"/>
        </w:rPr>
        <w:t>,</w:t>
      </w:r>
      <w:r w:rsidRPr="006140B2">
        <w:rPr>
          <w:lang w:val="en-US"/>
        </w:rPr>
        <w:t> </w:t>
      </w:r>
      <w:r w:rsidRPr="005B19F5">
        <w:rPr>
          <w:lang w:val="en-US"/>
        </w:rPr>
        <w:t xml:space="preserve">Cellulose, 32, 81–94. </w:t>
      </w:r>
      <w:r>
        <w:rPr>
          <w:lang w:val="en-US"/>
        </w:rPr>
        <w:t xml:space="preserve">DOI: </w:t>
      </w:r>
      <w:r w:rsidRPr="005B19F5">
        <w:rPr>
          <w:lang w:val="en-US"/>
        </w:rPr>
        <w:t>10.1007/s10570-024-06179-y</w:t>
      </w:r>
    </w:p>
    <w:p w14:paraId="728C53C7" w14:textId="71FFE0BA" w:rsidR="00A81EDC" w:rsidRPr="006140B2" w:rsidRDefault="00A81EDC" w:rsidP="00A81EDC">
      <w:pPr>
        <w:pStyle w:val="CETReferencetext"/>
        <w:rPr>
          <w:lang w:val="en-US"/>
        </w:rPr>
      </w:pPr>
      <w:r w:rsidRPr="006140B2">
        <w:rPr>
          <w:lang w:val="en-US"/>
        </w:rPr>
        <w:lastRenderedPageBreak/>
        <w:t>Vanaraj R.</w:t>
      </w:r>
      <w:r>
        <w:rPr>
          <w:lang w:val="en-US"/>
        </w:rPr>
        <w:t>,</w:t>
      </w:r>
      <w:r w:rsidRPr="006140B2">
        <w:rPr>
          <w:lang w:val="en-US"/>
        </w:rPr>
        <w:t xml:space="preserve"> Suresh Kumar S.M.</w:t>
      </w:r>
      <w:r>
        <w:rPr>
          <w:lang w:val="en-US"/>
        </w:rPr>
        <w:t>,</w:t>
      </w:r>
      <w:r w:rsidRPr="006140B2">
        <w:rPr>
          <w:lang w:val="en-US"/>
        </w:rPr>
        <w:t xml:space="preserve"> Kim S.C.</w:t>
      </w:r>
      <w:r>
        <w:rPr>
          <w:lang w:val="en-US"/>
        </w:rPr>
        <w:t>,</w:t>
      </w:r>
      <w:r w:rsidRPr="006140B2">
        <w:rPr>
          <w:lang w:val="en-US"/>
        </w:rPr>
        <w:t xml:space="preserve"> Santhamoorthy M</w:t>
      </w:r>
      <w:r>
        <w:rPr>
          <w:lang w:val="en-US"/>
        </w:rPr>
        <w:t>.</w:t>
      </w:r>
      <w:r w:rsidRPr="006140B2">
        <w:rPr>
          <w:lang w:val="en-US"/>
        </w:rPr>
        <w:t>A</w:t>
      </w:r>
      <w:r>
        <w:rPr>
          <w:lang w:val="en-US"/>
        </w:rPr>
        <w:t>.,</w:t>
      </w:r>
      <w:r w:rsidRPr="006140B2">
        <w:rPr>
          <w:lang w:val="en-US"/>
        </w:rPr>
        <w:t xml:space="preserve"> </w:t>
      </w:r>
      <w:r>
        <w:rPr>
          <w:lang w:val="en-US"/>
        </w:rPr>
        <w:t xml:space="preserve">2025, </w:t>
      </w:r>
      <w:r w:rsidRPr="006140B2">
        <w:rPr>
          <w:lang w:val="en-US"/>
        </w:rPr>
        <w:t>Review on Sustainable Upcycling of Plastic Waste Through Depolymerization into High-Value Monomer. </w:t>
      </w:r>
      <w:r w:rsidRPr="00882588">
        <w:rPr>
          <w:lang w:val="en-US"/>
        </w:rPr>
        <w:t>Processes, 13, 2431. DOI: 10.3390/pr13082431</w:t>
      </w:r>
    </w:p>
    <w:p w14:paraId="14BC783D" w14:textId="77777777" w:rsidR="00A81EDC" w:rsidRDefault="00A81EDC" w:rsidP="00E65B91">
      <w:pPr>
        <w:pStyle w:val="CETReferencetext"/>
      </w:pPr>
    </w:p>
    <w:sectPr w:rsidR="00A81EDC"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7A700" w14:textId="77777777" w:rsidR="00AA49DE" w:rsidRDefault="00AA49DE" w:rsidP="004F5E36">
      <w:r>
        <w:separator/>
      </w:r>
    </w:p>
  </w:endnote>
  <w:endnote w:type="continuationSeparator" w:id="0">
    <w:p w14:paraId="3EFAB30F" w14:textId="77777777" w:rsidR="00AA49DE" w:rsidRDefault="00AA49DE"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7C996" w14:textId="77777777" w:rsidR="00AA49DE" w:rsidRDefault="00AA49DE" w:rsidP="004F5E36">
      <w:r>
        <w:separator/>
      </w:r>
    </w:p>
  </w:footnote>
  <w:footnote w:type="continuationSeparator" w:id="0">
    <w:p w14:paraId="446847F7" w14:textId="77777777" w:rsidR="00AA49DE" w:rsidRDefault="00AA49DE"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aSimples-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6404AE"/>
    <w:multiLevelType w:val="hybridMultilevel"/>
    <w:tmpl w:val="47ACE23A"/>
    <w:lvl w:ilvl="0" w:tplc="5C42E966">
      <w:start w:val="1"/>
      <w:numFmt w:val="decimal"/>
      <w:lvlText w:val="%1."/>
      <w:lvlJc w:val="left"/>
      <w:pPr>
        <w:ind w:left="720" w:hanging="360"/>
      </w:pPr>
    </w:lvl>
    <w:lvl w:ilvl="1" w:tplc="972E64CE">
      <w:start w:val="1"/>
      <w:numFmt w:val="decimal"/>
      <w:lvlText w:val="%2."/>
      <w:lvlJc w:val="left"/>
      <w:pPr>
        <w:ind w:left="720" w:hanging="360"/>
      </w:pPr>
    </w:lvl>
    <w:lvl w:ilvl="2" w:tplc="AEF0C8C0">
      <w:start w:val="1"/>
      <w:numFmt w:val="decimal"/>
      <w:lvlText w:val="%3."/>
      <w:lvlJc w:val="left"/>
      <w:pPr>
        <w:ind w:left="720" w:hanging="360"/>
      </w:pPr>
    </w:lvl>
    <w:lvl w:ilvl="3" w:tplc="19CAC6D6">
      <w:start w:val="1"/>
      <w:numFmt w:val="decimal"/>
      <w:lvlText w:val="%4."/>
      <w:lvlJc w:val="left"/>
      <w:pPr>
        <w:ind w:left="720" w:hanging="360"/>
      </w:pPr>
    </w:lvl>
    <w:lvl w:ilvl="4" w:tplc="B3A41FF8">
      <w:start w:val="1"/>
      <w:numFmt w:val="decimal"/>
      <w:lvlText w:val="%5."/>
      <w:lvlJc w:val="left"/>
      <w:pPr>
        <w:ind w:left="720" w:hanging="360"/>
      </w:pPr>
    </w:lvl>
    <w:lvl w:ilvl="5" w:tplc="C7D4B274">
      <w:start w:val="1"/>
      <w:numFmt w:val="decimal"/>
      <w:lvlText w:val="%6."/>
      <w:lvlJc w:val="left"/>
      <w:pPr>
        <w:ind w:left="720" w:hanging="360"/>
      </w:pPr>
    </w:lvl>
    <w:lvl w:ilvl="6" w:tplc="AA785E6A">
      <w:start w:val="1"/>
      <w:numFmt w:val="decimal"/>
      <w:lvlText w:val="%7."/>
      <w:lvlJc w:val="left"/>
      <w:pPr>
        <w:ind w:left="720" w:hanging="360"/>
      </w:pPr>
    </w:lvl>
    <w:lvl w:ilvl="7" w:tplc="7E8EA996">
      <w:start w:val="1"/>
      <w:numFmt w:val="decimal"/>
      <w:lvlText w:val="%8."/>
      <w:lvlJc w:val="left"/>
      <w:pPr>
        <w:ind w:left="720" w:hanging="360"/>
      </w:pPr>
    </w:lvl>
    <w:lvl w:ilvl="8" w:tplc="5C78DFC8">
      <w:start w:val="1"/>
      <w:numFmt w:val="decimal"/>
      <w:lvlText w:val="%9."/>
      <w:lvlJc w:val="left"/>
      <w:pPr>
        <w:ind w:left="720" w:hanging="360"/>
      </w:pPr>
    </w:lvl>
  </w:abstractNum>
  <w:abstractNum w:abstractNumId="18"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9"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F5C6984"/>
    <w:multiLevelType w:val="hybridMultilevel"/>
    <w:tmpl w:val="53D0CAC6"/>
    <w:lvl w:ilvl="0" w:tplc="A1082156">
      <w:start w:val="1"/>
      <w:numFmt w:val="decimal"/>
      <w:lvlText w:val="%1."/>
      <w:lvlJc w:val="left"/>
      <w:pPr>
        <w:ind w:left="720" w:hanging="360"/>
      </w:pPr>
    </w:lvl>
    <w:lvl w:ilvl="1" w:tplc="522E060E">
      <w:start w:val="1"/>
      <w:numFmt w:val="decimal"/>
      <w:lvlText w:val="%2."/>
      <w:lvlJc w:val="left"/>
      <w:pPr>
        <w:ind w:left="720" w:hanging="360"/>
      </w:pPr>
    </w:lvl>
    <w:lvl w:ilvl="2" w:tplc="C75C941C">
      <w:start w:val="1"/>
      <w:numFmt w:val="decimal"/>
      <w:lvlText w:val="%3."/>
      <w:lvlJc w:val="left"/>
      <w:pPr>
        <w:ind w:left="720" w:hanging="360"/>
      </w:pPr>
    </w:lvl>
    <w:lvl w:ilvl="3" w:tplc="5AEA1628">
      <w:start w:val="1"/>
      <w:numFmt w:val="decimal"/>
      <w:lvlText w:val="%4."/>
      <w:lvlJc w:val="left"/>
      <w:pPr>
        <w:ind w:left="720" w:hanging="360"/>
      </w:pPr>
    </w:lvl>
    <w:lvl w:ilvl="4" w:tplc="50BC93C6">
      <w:start w:val="1"/>
      <w:numFmt w:val="decimal"/>
      <w:lvlText w:val="%5."/>
      <w:lvlJc w:val="left"/>
      <w:pPr>
        <w:ind w:left="720" w:hanging="360"/>
      </w:pPr>
    </w:lvl>
    <w:lvl w:ilvl="5" w:tplc="93FCAB6C">
      <w:start w:val="1"/>
      <w:numFmt w:val="decimal"/>
      <w:lvlText w:val="%6."/>
      <w:lvlJc w:val="left"/>
      <w:pPr>
        <w:ind w:left="720" w:hanging="360"/>
      </w:pPr>
    </w:lvl>
    <w:lvl w:ilvl="6" w:tplc="C60E80F2">
      <w:start w:val="1"/>
      <w:numFmt w:val="decimal"/>
      <w:lvlText w:val="%7."/>
      <w:lvlJc w:val="left"/>
      <w:pPr>
        <w:ind w:left="720" w:hanging="360"/>
      </w:pPr>
    </w:lvl>
    <w:lvl w:ilvl="7" w:tplc="3E5EF9F8">
      <w:start w:val="1"/>
      <w:numFmt w:val="decimal"/>
      <w:lvlText w:val="%8."/>
      <w:lvlJc w:val="left"/>
      <w:pPr>
        <w:ind w:left="720" w:hanging="360"/>
      </w:pPr>
    </w:lvl>
    <w:lvl w:ilvl="8" w:tplc="50CE54A6">
      <w:start w:val="1"/>
      <w:numFmt w:val="decimal"/>
      <w:lvlText w:val="%9."/>
      <w:lvlJc w:val="left"/>
      <w:pPr>
        <w:ind w:left="720" w:hanging="360"/>
      </w:pPr>
    </w:lvl>
  </w:abstractNum>
  <w:num w:numId="1" w16cid:durableId="1316882765">
    <w:abstractNumId w:val="10"/>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8"/>
  </w:num>
  <w:num w:numId="13" w16cid:durableId="695733619">
    <w:abstractNumId w:val="12"/>
  </w:num>
  <w:num w:numId="14" w16cid:durableId="145903400">
    <w:abstractNumId w:val="19"/>
  </w:num>
  <w:num w:numId="15" w16cid:durableId="19162326">
    <w:abstractNumId w:val="21"/>
  </w:num>
  <w:num w:numId="16" w16cid:durableId="1977102699">
    <w:abstractNumId w:val="20"/>
  </w:num>
  <w:num w:numId="17" w16cid:durableId="860774865">
    <w:abstractNumId w:val="11"/>
  </w:num>
  <w:num w:numId="18" w16cid:durableId="313221457">
    <w:abstractNumId w:val="12"/>
    <w:lvlOverride w:ilvl="0">
      <w:startOverride w:val="1"/>
    </w:lvlOverride>
  </w:num>
  <w:num w:numId="19" w16cid:durableId="534971577">
    <w:abstractNumId w:val="16"/>
  </w:num>
  <w:num w:numId="20" w16cid:durableId="1150947773">
    <w:abstractNumId w:val="15"/>
  </w:num>
  <w:num w:numId="21" w16cid:durableId="124660497">
    <w:abstractNumId w:val="14"/>
  </w:num>
  <w:num w:numId="22" w16cid:durableId="2099861471">
    <w:abstractNumId w:val="13"/>
  </w:num>
  <w:num w:numId="23" w16cid:durableId="2078163677">
    <w:abstractNumId w:val="22"/>
  </w:num>
  <w:num w:numId="24" w16cid:durableId="13965905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884"/>
    <w:rsid w:val="00005A19"/>
    <w:rsid w:val="000117CB"/>
    <w:rsid w:val="0003148D"/>
    <w:rsid w:val="00031EEC"/>
    <w:rsid w:val="00051566"/>
    <w:rsid w:val="000562A9"/>
    <w:rsid w:val="00060B2B"/>
    <w:rsid w:val="00062A9A"/>
    <w:rsid w:val="00065058"/>
    <w:rsid w:val="00086C39"/>
    <w:rsid w:val="00094809"/>
    <w:rsid w:val="000A03B2"/>
    <w:rsid w:val="000D0268"/>
    <w:rsid w:val="000D34BE"/>
    <w:rsid w:val="000E102F"/>
    <w:rsid w:val="000E36F1"/>
    <w:rsid w:val="000E3A73"/>
    <w:rsid w:val="000E414A"/>
    <w:rsid w:val="000E75FD"/>
    <w:rsid w:val="000F093C"/>
    <w:rsid w:val="000F726E"/>
    <w:rsid w:val="000F787B"/>
    <w:rsid w:val="0012091F"/>
    <w:rsid w:val="00124AAD"/>
    <w:rsid w:val="00126BC2"/>
    <w:rsid w:val="001308B6"/>
    <w:rsid w:val="0013121F"/>
    <w:rsid w:val="00131FE6"/>
    <w:rsid w:val="0013263F"/>
    <w:rsid w:val="001331DF"/>
    <w:rsid w:val="00134DE4"/>
    <w:rsid w:val="0014034D"/>
    <w:rsid w:val="00140FE3"/>
    <w:rsid w:val="00144D16"/>
    <w:rsid w:val="00150E59"/>
    <w:rsid w:val="00152DE3"/>
    <w:rsid w:val="00164CF9"/>
    <w:rsid w:val="001667A6"/>
    <w:rsid w:val="00184AD6"/>
    <w:rsid w:val="00196B88"/>
    <w:rsid w:val="001A4AF7"/>
    <w:rsid w:val="001B0349"/>
    <w:rsid w:val="001B1E93"/>
    <w:rsid w:val="001B65C1"/>
    <w:rsid w:val="001C260F"/>
    <w:rsid w:val="001C33F1"/>
    <w:rsid w:val="001C684B"/>
    <w:rsid w:val="001D0CFB"/>
    <w:rsid w:val="001D21AF"/>
    <w:rsid w:val="001D53FC"/>
    <w:rsid w:val="001E1505"/>
    <w:rsid w:val="001F42A5"/>
    <w:rsid w:val="001F7B9D"/>
    <w:rsid w:val="00201C93"/>
    <w:rsid w:val="00217865"/>
    <w:rsid w:val="002224B4"/>
    <w:rsid w:val="002275F6"/>
    <w:rsid w:val="002447EF"/>
    <w:rsid w:val="00251550"/>
    <w:rsid w:val="00263372"/>
    <w:rsid w:val="00263B05"/>
    <w:rsid w:val="00270B18"/>
    <w:rsid w:val="0027221A"/>
    <w:rsid w:val="00275B61"/>
    <w:rsid w:val="00280FAF"/>
    <w:rsid w:val="00282656"/>
    <w:rsid w:val="00296B83"/>
    <w:rsid w:val="002A7C98"/>
    <w:rsid w:val="002B21EB"/>
    <w:rsid w:val="002B4015"/>
    <w:rsid w:val="002B78CE"/>
    <w:rsid w:val="002C2FB6"/>
    <w:rsid w:val="002C4556"/>
    <w:rsid w:val="002D22EE"/>
    <w:rsid w:val="002E39EB"/>
    <w:rsid w:val="002E5FA7"/>
    <w:rsid w:val="002F3309"/>
    <w:rsid w:val="003008CE"/>
    <w:rsid w:val="003009B7"/>
    <w:rsid w:val="00300E56"/>
    <w:rsid w:val="0030152C"/>
    <w:rsid w:val="0030469C"/>
    <w:rsid w:val="00321CA6"/>
    <w:rsid w:val="00323763"/>
    <w:rsid w:val="00323C5F"/>
    <w:rsid w:val="00334C09"/>
    <w:rsid w:val="003723D4"/>
    <w:rsid w:val="00381905"/>
    <w:rsid w:val="00384CC8"/>
    <w:rsid w:val="003871FD"/>
    <w:rsid w:val="003876D5"/>
    <w:rsid w:val="0039030E"/>
    <w:rsid w:val="003A06C4"/>
    <w:rsid w:val="003A1E30"/>
    <w:rsid w:val="003A2829"/>
    <w:rsid w:val="003A7D1C"/>
    <w:rsid w:val="003B304B"/>
    <w:rsid w:val="003B3146"/>
    <w:rsid w:val="003B566D"/>
    <w:rsid w:val="003D1E02"/>
    <w:rsid w:val="003D41FF"/>
    <w:rsid w:val="003E29B0"/>
    <w:rsid w:val="003E6A60"/>
    <w:rsid w:val="003F015E"/>
    <w:rsid w:val="00400414"/>
    <w:rsid w:val="0041446B"/>
    <w:rsid w:val="00424434"/>
    <w:rsid w:val="00426F1F"/>
    <w:rsid w:val="0044071E"/>
    <w:rsid w:val="0044329C"/>
    <w:rsid w:val="00452582"/>
    <w:rsid w:val="00453E24"/>
    <w:rsid w:val="004547A7"/>
    <w:rsid w:val="00457456"/>
    <w:rsid w:val="004577FE"/>
    <w:rsid w:val="00457B9C"/>
    <w:rsid w:val="0046164A"/>
    <w:rsid w:val="004628D2"/>
    <w:rsid w:val="00462DCD"/>
    <w:rsid w:val="004648AD"/>
    <w:rsid w:val="004703A9"/>
    <w:rsid w:val="00475E55"/>
    <w:rsid w:val="004760DE"/>
    <w:rsid w:val="004763D7"/>
    <w:rsid w:val="00480BC7"/>
    <w:rsid w:val="00482160"/>
    <w:rsid w:val="00485590"/>
    <w:rsid w:val="004A004E"/>
    <w:rsid w:val="004A24CF"/>
    <w:rsid w:val="004A3D4D"/>
    <w:rsid w:val="004A5E57"/>
    <w:rsid w:val="004C194F"/>
    <w:rsid w:val="004C3D1D"/>
    <w:rsid w:val="004C3D84"/>
    <w:rsid w:val="004C7913"/>
    <w:rsid w:val="004D0EC3"/>
    <w:rsid w:val="004E4DD6"/>
    <w:rsid w:val="004F5E36"/>
    <w:rsid w:val="004F63C2"/>
    <w:rsid w:val="00507B47"/>
    <w:rsid w:val="00507BEF"/>
    <w:rsid w:val="00507CC9"/>
    <w:rsid w:val="005119A5"/>
    <w:rsid w:val="0051498F"/>
    <w:rsid w:val="00521C16"/>
    <w:rsid w:val="005278B7"/>
    <w:rsid w:val="00532016"/>
    <w:rsid w:val="005346C8"/>
    <w:rsid w:val="00534CC7"/>
    <w:rsid w:val="00537489"/>
    <w:rsid w:val="00543E7D"/>
    <w:rsid w:val="0054622C"/>
    <w:rsid w:val="00547A68"/>
    <w:rsid w:val="005531C9"/>
    <w:rsid w:val="00565E7F"/>
    <w:rsid w:val="00566CC3"/>
    <w:rsid w:val="00570C43"/>
    <w:rsid w:val="00571741"/>
    <w:rsid w:val="0058536E"/>
    <w:rsid w:val="00592274"/>
    <w:rsid w:val="005B2110"/>
    <w:rsid w:val="005B3255"/>
    <w:rsid w:val="005B61E6"/>
    <w:rsid w:val="005C3D9E"/>
    <w:rsid w:val="005C77E1"/>
    <w:rsid w:val="005D668A"/>
    <w:rsid w:val="005D6A2F"/>
    <w:rsid w:val="005D7B00"/>
    <w:rsid w:val="005E0592"/>
    <w:rsid w:val="005E1A82"/>
    <w:rsid w:val="005E794C"/>
    <w:rsid w:val="005F0A28"/>
    <w:rsid w:val="005F0E5E"/>
    <w:rsid w:val="00600535"/>
    <w:rsid w:val="0060775D"/>
    <w:rsid w:val="00610CD6"/>
    <w:rsid w:val="00620DEE"/>
    <w:rsid w:val="00621F92"/>
    <w:rsid w:val="0062280A"/>
    <w:rsid w:val="006231E1"/>
    <w:rsid w:val="00625639"/>
    <w:rsid w:val="00631B33"/>
    <w:rsid w:val="00635A28"/>
    <w:rsid w:val="0064184D"/>
    <w:rsid w:val="006422CC"/>
    <w:rsid w:val="00651D18"/>
    <w:rsid w:val="00660E3E"/>
    <w:rsid w:val="00662E74"/>
    <w:rsid w:val="00673C17"/>
    <w:rsid w:val="00680C23"/>
    <w:rsid w:val="00683E23"/>
    <w:rsid w:val="00693766"/>
    <w:rsid w:val="006A3281"/>
    <w:rsid w:val="006B4888"/>
    <w:rsid w:val="006C2E45"/>
    <w:rsid w:val="006C2ECC"/>
    <w:rsid w:val="006C359C"/>
    <w:rsid w:val="006C5579"/>
    <w:rsid w:val="006D6E8B"/>
    <w:rsid w:val="006D7209"/>
    <w:rsid w:val="006E66A8"/>
    <w:rsid w:val="006E737D"/>
    <w:rsid w:val="007073A2"/>
    <w:rsid w:val="00707DD1"/>
    <w:rsid w:val="00713973"/>
    <w:rsid w:val="00720A24"/>
    <w:rsid w:val="00721C44"/>
    <w:rsid w:val="00732386"/>
    <w:rsid w:val="0073514D"/>
    <w:rsid w:val="00743F34"/>
    <w:rsid w:val="007447F3"/>
    <w:rsid w:val="0075499F"/>
    <w:rsid w:val="007617CC"/>
    <w:rsid w:val="007661C8"/>
    <w:rsid w:val="0077098D"/>
    <w:rsid w:val="00772B5C"/>
    <w:rsid w:val="00785BF9"/>
    <w:rsid w:val="00785D78"/>
    <w:rsid w:val="007879C6"/>
    <w:rsid w:val="007931FA"/>
    <w:rsid w:val="007A4861"/>
    <w:rsid w:val="007A7BBA"/>
    <w:rsid w:val="007B0C50"/>
    <w:rsid w:val="007B48F9"/>
    <w:rsid w:val="007C1A43"/>
    <w:rsid w:val="007C595C"/>
    <w:rsid w:val="007D0951"/>
    <w:rsid w:val="007F27C8"/>
    <w:rsid w:val="0080013E"/>
    <w:rsid w:val="00813288"/>
    <w:rsid w:val="008168FC"/>
    <w:rsid w:val="00816AA6"/>
    <w:rsid w:val="00822AC1"/>
    <w:rsid w:val="00830996"/>
    <w:rsid w:val="008314D7"/>
    <w:rsid w:val="008345F1"/>
    <w:rsid w:val="00836E31"/>
    <w:rsid w:val="008472AD"/>
    <w:rsid w:val="00865B07"/>
    <w:rsid w:val="008667EA"/>
    <w:rsid w:val="0087637F"/>
    <w:rsid w:val="00892AD5"/>
    <w:rsid w:val="008A1512"/>
    <w:rsid w:val="008D32B9"/>
    <w:rsid w:val="008D433B"/>
    <w:rsid w:val="008D4A16"/>
    <w:rsid w:val="008E209A"/>
    <w:rsid w:val="008E2509"/>
    <w:rsid w:val="008E2741"/>
    <w:rsid w:val="008E45BC"/>
    <w:rsid w:val="008E566E"/>
    <w:rsid w:val="008E698A"/>
    <w:rsid w:val="008F7D1A"/>
    <w:rsid w:val="0090161A"/>
    <w:rsid w:val="00901EB6"/>
    <w:rsid w:val="009041F8"/>
    <w:rsid w:val="00904C62"/>
    <w:rsid w:val="00914A6D"/>
    <w:rsid w:val="00922BA8"/>
    <w:rsid w:val="00924D0A"/>
    <w:rsid w:val="00924DAC"/>
    <w:rsid w:val="00927058"/>
    <w:rsid w:val="00942750"/>
    <w:rsid w:val="009450CE"/>
    <w:rsid w:val="009459BB"/>
    <w:rsid w:val="0094681F"/>
    <w:rsid w:val="00947179"/>
    <w:rsid w:val="00947501"/>
    <w:rsid w:val="0095164B"/>
    <w:rsid w:val="00954090"/>
    <w:rsid w:val="009573E7"/>
    <w:rsid w:val="00961DFB"/>
    <w:rsid w:val="00963E05"/>
    <w:rsid w:val="00964A45"/>
    <w:rsid w:val="00967843"/>
    <w:rsid w:val="00967D54"/>
    <w:rsid w:val="00971028"/>
    <w:rsid w:val="009714FF"/>
    <w:rsid w:val="00986E41"/>
    <w:rsid w:val="0099041C"/>
    <w:rsid w:val="00993B84"/>
    <w:rsid w:val="00996483"/>
    <w:rsid w:val="00996F5A"/>
    <w:rsid w:val="009B041A"/>
    <w:rsid w:val="009B4970"/>
    <w:rsid w:val="009C37C3"/>
    <w:rsid w:val="009C7C86"/>
    <w:rsid w:val="009C7D5D"/>
    <w:rsid w:val="009D2FF7"/>
    <w:rsid w:val="009E7884"/>
    <w:rsid w:val="009E788A"/>
    <w:rsid w:val="009F0E08"/>
    <w:rsid w:val="00A079AE"/>
    <w:rsid w:val="00A1763D"/>
    <w:rsid w:val="00A17CEC"/>
    <w:rsid w:val="00A26CBB"/>
    <w:rsid w:val="00A27EF0"/>
    <w:rsid w:val="00A42361"/>
    <w:rsid w:val="00A46AA3"/>
    <w:rsid w:val="00A50B20"/>
    <w:rsid w:val="00A51390"/>
    <w:rsid w:val="00A60D13"/>
    <w:rsid w:val="00A7223D"/>
    <w:rsid w:val="00A72745"/>
    <w:rsid w:val="00A76EFC"/>
    <w:rsid w:val="00A81EDC"/>
    <w:rsid w:val="00A87D50"/>
    <w:rsid w:val="00A91010"/>
    <w:rsid w:val="00A97F29"/>
    <w:rsid w:val="00AA49DE"/>
    <w:rsid w:val="00AA702E"/>
    <w:rsid w:val="00AA7D26"/>
    <w:rsid w:val="00AB07BA"/>
    <w:rsid w:val="00AB0964"/>
    <w:rsid w:val="00AB5011"/>
    <w:rsid w:val="00AC6F92"/>
    <w:rsid w:val="00AC7368"/>
    <w:rsid w:val="00AD0278"/>
    <w:rsid w:val="00AD16B9"/>
    <w:rsid w:val="00AE377D"/>
    <w:rsid w:val="00AF0A0C"/>
    <w:rsid w:val="00AF0EBA"/>
    <w:rsid w:val="00B02C8A"/>
    <w:rsid w:val="00B17FBD"/>
    <w:rsid w:val="00B30BAB"/>
    <w:rsid w:val="00B315A6"/>
    <w:rsid w:val="00B31813"/>
    <w:rsid w:val="00B33365"/>
    <w:rsid w:val="00B40A62"/>
    <w:rsid w:val="00B57B36"/>
    <w:rsid w:val="00B57E6F"/>
    <w:rsid w:val="00B83729"/>
    <w:rsid w:val="00B8686D"/>
    <w:rsid w:val="00B93F69"/>
    <w:rsid w:val="00BB1DDC"/>
    <w:rsid w:val="00BB7BA1"/>
    <w:rsid w:val="00BC30C9"/>
    <w:rsid w:val="00BD077D"/>
    <w:rsid w:val="00BD0D3B"/>
    <w:rsid w:val="00BE3E58"/>
    <w:rsid w:val="00C014E4"/>
    <w:rsid w:val="00C01616"/>
    <w:rsid w:val="00C0162B"/>
    <w:rsid w:val="00C068ED"/>
    <w:rsid w:val="00C14F47"/>
    <w:rsid w:val="00C208E9"/>
    <w:rsid w:val="00C22E0C"/>
    <w:rsid w:val="00C345B1"/>
    <w:rsid w:val="00C40142"/>
    <w:rsid w:val="00C40F50"/>
    <w:rsid w:val="00C52C3C"/>
    <w:rsid w:val="00C57182"/>
    <w:rsid w:val="00C57863"/>
    <w:rsid w:val="00C604D3"/>
    <w:rsid w:val="00C640AF"/>
    <w:rsid w:val="00C655FD"/>
    <w:rsid w:val="00C75407"/>
    <w:rsid w:val="00C813FB"/>
    <w:rsid w:val="00C841C6"/>
    <w:rsid w:val="00C870A8"/>
    <w:rsid w:val="00C9217C"/>
    <w:rsid w:val="00C94434"/>
    <w:rsid w:val="00CA0D75"/>
    <w:rsid w:val="00CA1C95"/>
    <w:rsid w:val="00CA5A9C"/>
    <w:rsid w:val="00CC4923"/>
    <w:rsid w:val="00CC4C20"/>
    <w:rsid w:val="00CD3517"/>
    <w:rsid w:val="00CD5FE2"/>
    <w:rsid w:val="00CE7C68"/>
    <w:rsid w:val="00CF6971"/>
    <w:rsid w:val="00CF737B"/>
    <w:rsid w:val="00D02B4C"/>
    <w:rsid w:val="00D040C4"/>
    <w:rsid w:val="00D20AD1"/>
    <w:rsid w:val="00D2582C"/>
    <w:rsid w:val="00D42DE1"/>
    <w:rsid w:val="00D44A7B"/>
    <w:rsid w:val="00D46B7E"/>
    <w:rsid w:val="00D57C84"/>
    <w:rsid w:val="00D6057D"/>
    <w:rsid w:val="00D62F02"/>
    <w:rsid w:val="00D6608E"/>
    <w:rsid w:val="00D71640"/>
    <w:rsid w:val="00D836C5"/>
    <w:rsid w:val="00D84576"/>
    <w:rsid w:val="00D94548"/>
    <w:rsid w:val="00DA1399"/>
    <w:rsid w:val="00DA24C6"/>
    <w:rsid w:val="00DA4D7B"/>
    <w:rsid w:val="00DB4A00"/>
    <w:rsid w:val="00DD271C"/>
    <w:rsid w:val="00DE1E3E"/>
    <w:rsid w:val="00DE264A"/>
    <w:rsid w:val="00DE4294"/>
    <w:rsid w:val="00DF5072"/>
    <w:rsid w:val="00E02D18"/>
    <w:rsid w:val="00E041E7"/>
    <w:rsid w:val="00E23CA1"/>
    <w:rsid w:val="00E25F04"/>
    <w:rsid w:val="00E409A8"/>
    <w:rsid w:val="00E47D61"/>
    <w:rsid w:val="00E50C12"/>
    <w:rsid w:val="00E55397"/>
    <w:rsid w:val="00E65B91"/>
    <w:rsid w:val="00E7209D"/>
    <w:rsid w:val="00E72EAD"/>
    <w:rsid w:val="00E77223"/>
    <w:rsid w:val="00E8398B"/>
    <w:rsid w:val="00E8528B"/>
    <w:rsid w:val="00E85B94"/>
    <w:rsid w:val="00E978D0"/>
    <w:rsid w:val="00EA4613"/>
    <w:rsid w:val="00EA5AEA"/>
    <w:rsid w:val="00EA7780"/>
    <w:rsid w:val="00EA7F91"/>
    <w:rsid w:val="00EB1523"/>
    <w:rsid w:val="00EC0E49"/>
    <w:rsid w:val="00EC101F"/>
    <w:rsid w:val="00EC1D9F"/>
    <w:rsid w:val="00EE0131"/>
    <w:rsid w:val="00EE17B0"/>
    <w:rsid w:val="00EF06D9"/>
    <w:rsid w:val="00EF0982"/>
    <w:rsid w:val="00EF16E1"/>
    <w:rsid w:val="00F00D67"/>
    <w:rsid w:val="00F0721C"/>
    <w:rsid w:val="00F10067"/>
    <w:rsid w:val="00F11060"/>
    <w:rsid w:val="00F3049E"/>
    <w:rsid w:val="00F30C64"/>
    <w:rsid w:val="00F32BA2"/>
    <w:rsid w:val="00F32CDB"/>
    <w:rsid w:val="00F3348F"/>
    <w:rsid w:val="00F37280"/>
    <w:rsid w:val="00F41EE4"/>
    <w:rsid w:val="00F565FE"/>
    <w:rsid w:val="00F63A70"/>
    <w:rsid w:val="00F63D8C"/>
    <w:rsid w:val="00F70717"/>
    <w:rsid w:val="00F7534E"/>
    <w:rsid w:val="00F76924"/>
    <w:rsid w:val="00F93EDF"/>
    <w:rsid w:val="00FA1802"/>
    <w:rsid w:val="00FA21D0"/>
    <w:rsid w:val="00FA5F5F"/>
    <w:rsid w:val="00FB62C8"/>
    <w:rsid w:val="00FB673C"/>
    <w:rsid w:val="00FB730C"/>
    <w:rsid w:val="00FC2695"/>
    <w:rsid w:val="00FC3E03"/>
    <w:rsid w:val="00FC3FC1"/>
    <w:rsid w:val="00FC535F"/>
    <w:rsid w:val="00FE4AA6"/>
    <w:rsid w:val="00FF7172"/>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90615C6C-ECF4-4A1A-B98E-23489F42B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tulo1">
    <w:name w:val="heading 1"/>
    <w:basedOn w:val="CETHeading1"/>
    <w:next w:val="Normal"/>
    <w:link w:val="Ttulo1Char"/>
    <w:uiPriority w:val="9"/>
    <w:rsid w:val="004F5E36"/>
    <w:pPr>
      <w:tabs>
        <w:tab w:val="clear" w:pos="360"/>
        <w:tab w:val="right" w:pos="7100"/>
      </w:tabs>
      <w:jc w:val="both"/>
      <w:outlineLvl w:val="0"/>
    </w:pPr>
    <w:rPr>
      <w:lang w:val="en-GB"/>
    </w:rPr>
  </w:style>
  <w:style w:type="paragraph" w:styleId="Ttulo2">
    <w:name w:val="heading 2"/>
    <w:basedOn w:val="Normal"/>
    <w:next w:val="Normal"/>
    <w:link w:val="Ttulo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aSimples-1">
    <w:name w:val="Table Simple 1"/>
    <w:basedOn w:val="Tabela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efdecomentrio">
    <w:name w:val="annotation reference"/>
    <w:basedOn w:val="Fontepargpadro"/>
    <w:uiPriority w:val="99"/>
    <w:semiHidden/>
    <w:unhideWhenUsed/>
    <w:rsid w:val="004577FE"/>
    <w:rPr>
      <w:sz w:val="16"/>
      <w:szCs w:val="16"/>
    </w:rPr>
  </w:style>
  <w:style w:type="paragraph" w:styleId="Textodebalo">
    <w:name w:val="Balloon Text"/>
    <w:basedOn w:val="Normal"/>
    <w:link w:val="TextodebaloChar"/>
    <w:uiPriority w:val="99"/>
    <w:semiHidden/>
    <w:unhideWhenUsed/>
    <w:rsid w:val="000D34B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texto2">
    <w:name w:val="Body Text 2"/>
    <w:basedOn w:val="Normal"/>
    <w:link w:val="Corpodetexto2Char"/>
    <w:uiPriority w:val="99"/>
    <w:semiHidden/>
    <w:unhideWhenUsed/>
    <w:rsid w:val="0003148D"/>
    <w:pPr>
      <w:spacing w:after="120" w:line="480" w:lineRule="auto"/>
    </w:pPr>
  </w:style>
  <w:style w:type="character" w:customStyle="1" w:styleId="Corpodetexto2Char">
    <w:name w:val="Corpo de texto 2 Char"/>
    <w:basedOn w:val="Fontepargpadro"/>
    <w:link w:val="Corpodetexto2"/>
    <w:uiPriority w:val="99"/>
    <w:semiHidden/>
    <w:rsid w:val="0003148D"/>
  </w:style>
  <w:style w:type="paragraph" w:styleId="Corpodetexto3">
    <w:name w:val="Body Text 3"/>
    <w:basedOn w:val="Normal"/>
    <w:link w:val="Corpodetexto3Char"/>
    <w:uiPriority w:val="99"/>
    <w:semiHidden/>
    <w:unhideWhenUsed/>
    <w:rsid w:val="0003148D"/>
    <w:pPr>
      <w:spacing w:after="120"/>
    </w:pPr>
    <w:rPr>
      <w:sz w:val="16"/>
      <w:szCs w:val="16"/>
    </w:rPr>
  </w:style>
  <w:style w:type="character" w:customStyle="1" w:styleId="Corpodetexto3Char">
    <w:name w:val="Corpo de texto 3 Char"/>
    <w:basedOn w:val="Fontepargpadro"/>
    <w:link w:val="Corpodetexto3"/>
    <w:uiPriority w:val="99"/>
    <w:semiHidden/>
    <w:rsid w:val="0003148D"/>
    <w:rPr>
      <w:sz w:val="16"/>
      <w:szCs w:val="16"/>
    </w:rPr>
  </w:style>
  <w:style w:type="paragraph" w:styleId="Corpodetexto">
    <w:name w:val="Body Text"/>
    <w:basedOn w:val="Normal"/>
    <w:link w:val="CorpodetextoChar"/>
    <w:uiPriority w:val="99"/>
    <w:semiHidden/>
    <w:unhideWhenUsed/>
    <w:rsid w:val="0003148D"/>
    <w:pPr>
      <w:spacing w:after="120"/>
    </w:pPr>
  </w:style>
  <w:style w:type="character" w:customStyle="1" w:styleId="CorpodetextoChar">
    <w:name w:val="Corpo de texto Char"/>
    <w:basedOn w:val="Fontepargpadro"/>
    <w:link w:val="Corpodetexto"/>
    <w:uiPriority w:val="99"/>
    <w:semiHidden/>
    <w:rsid w:val="0003148D"/>
  </w:style>
  <w:style w:type="paragraph" w:styleId="Data">
    <w:name w:val="Date"/>
    <w:basedOn w:val="Normal"/>
    <w:next w:val="Normal"/>
    <w:link w:val="DataChar"/>
    <w:uiPriority w:val="99"/>
    <w:semiHidden/>
    <w:unhideWhenUsed/>
    <w:rsid w:val="0003148D"/>
  </w:style>
  <w:style w:type="character" w:customStyle="1" w:styleId="DataChar">
    <w:name w:val="Data Char"/>
    <w:basedOn w:val="Fontepargpadro"/>
    <w:link w:val="Data"/>
    <w:uiPriority w:val="99"/>
    <w:semiHidden/>
    <w:rsid w:val="0003148D"/>
  </w:style>
  <w:style w:type="paragraph" w:styleId="Legenda">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a">
    <w:name w:val="List"/>
    <w:basedOn w:val="Normal"/>
    <w:uiPriority w:val="99"/>
    <w:semiHidden/>
    <w:unhideWhenUsed/>
    <w:rsid w:val="0003148D"/>
    <w:pPr>
      <w:ind w:left="283" w:hanging="283"/>
      <w:contextualSpacing/>
    </w:pPr>
  </w:style>
  <w:style w:type="paragraph" w:styleId="Lista2">
    <w:name w:val="List 2"/>
    <w:basedOn w:val="Normal"/>
    <w:uiPriority w:val="99"/>
    <w:semiHidden/>
    <w:unhideWhenUsed/>
    <w:rsid w:val="0003148D"/>
    <w:pPr>
      <w:ind w:left="566" w:hanging="283"/>
      <w:contextualSpacing/>
    </w:pPr>
  </w:style>
  <w:style w:type="paragraph" w:styleId="Lista3">
    <w:name w:val="List 3"/>
    <w:basedOn w:val="Normal"/>
    <w:uiPriority w:val="99"/>
    <w:semiHidden/>
    <w:unhideWhenUsed/>
    <w:rsid w:val="0003148D"/>
    <w:pPr>
      <w:ind w:left="849" w:hanging="283"/>
      <w:contextualSpacing/>
    </w:pPr>
  </w:style>
  <w:style w:type="paragraph" w:styleId="Lista4">
    <w:name w:val="List 4"/>
    <w:basedOn w:val="Normal"/>
    <w:uiPriority w:val="99"/>
    <w:semiHidden/>
    <w:unhideWhenUsed/>
    <w:rsid w:val="0003148D"/>
    <w:pPr>
      <w:ind w:left="1132" w:hanging="283"/>
      <w:contextualSpacing/>
    </w:pPr>
  </w:style>
  <w:style w:type="paragraph" w:styleId="Lista5">
    <w:name w:val="List 5"/>
    <w:basedOn w:val="Normal"/>
    <w:uiPriority w:val="99"/>
    <w:semiHidden/>
    <w:unhideWhenUsed/>
    <w:rsid w:val="0003148D"/>
    <w:pPr>
      <w:ind w:left="1415" w:hanging="283"/>
      <w:contextualSpacing/>
    </w:pPr>
  </w:style>
  <w:style w:type="paragraph" w:styleId="Listadecontinuao">
    <w:name w:val="List Continue"/>
    <w:basedOn w:val="Normal"/>
    <w:uiPriority w:val="99"/>
    <w:semiHidden/>
    <w:unhideWhenUsed/>
    <w:rsid w:val="0003148D"/>
    <w:pPr>
      <w:spacing w:after="120"/>
      <w:ind w:left="283"/>
      <w:contextualSpacing/>
    </w:pPr>
  </w:style>
  <w:style w:type="paragraph" w:styleId="Listadecontinuao2">
    <w:name w:val="List Continue 2"/>
    <w:basedOn w:val="Normal"/>
    <w:uiPriority w:val="99"/>
    <w:semiHidden/>
    <w:unhideWhenUsed/>
    <w:rsid w:val="0003148D"/>
    <w:pPr>
      <w:spacing w:after="120"/>
      <w:ind w:left="566"/>
      <w:contextualSpacing/>
    </w:pPr>
  </w:style>
  <w:style w:type="paragraph" w:styleId="Listadecontinuao3">
    <w:name w:val="List Continue 3"/>
    <w:basedOn w:val="Normal"/>
    <w:uiPriority w:val="99"/>
    <w:semiHidden/>
    <w:unhideWhenUsed/>
    <w:rsid w:val="0003148D"/>
    <w:pPr>
      <w:spacing w:after="120"/>
      <w:ind w:left="849"/>
      <w:contextualSpacing/>
    </w:pPr>
  </w:style>
  <w:style w:type="paragraph" w:styleId="Listadecontinuao4">
    <w:name w:val="List Continue 4"/>
    <w:basedOn w:val="Normal"/>
    <w:uiPriority w:val="99"/>
    <w:semiHidden/>
    <w:unhideWhenUsed/>
    <w:rsid w:val="0003148D"/>
    <w:pPr>
      <w:spacing w:after="120"/>
      <w:ind w:left="1132"/>
      <w:contextualSpacing/>
    </w:pPr>
  </w:style>
  <w:style w:type="paragraph" w:styleId="Listadecontinuao5">
    <w:name w:val="List Continue 5"/>
    <w:basedOn w:val="Normal"/>
    <w:uiPriority w:val="99"/>
    <w:semiHidden/>
    <w:unhideWhenUsed/>
    <w:rsid w:val="0003148D"/>
    <w:pPr>
      <w:spacing w:after="120"/>
      <w:ind w:left="1415"/>
      <w:contextualSpacing/>
    </w:pPr>
  </w:style>
  <w:style w:type="paragraph" w:styleId="Assinatura">
    <w:name w:val="Signature"/>
    <w:basedOn w:val="Normal"/>
    <w:link w:val="AssinaturaChar"/>
    <w:uiPriority w:val="99"/>
    <w:semiHidden/>
    <w:unhideWhenUsed/>
    <w:rsid w:val="0003148D"/>
    <w:pPr>
      <w:spacing w:line="240" w:lineRule="auto"/>
      <w:ind w:left="4252"/>
    </w:pPr>
  </w:style>
  <w:style w:type="character" w:customStyle="1" w:styleId="AssinaturaChar">
    <w:name w:val="Assinatura Char"/>
    <w:basedOn w:val="Fontepargpadro"/>
    <w:link w:val="Assinatura"/>
    <w:uiPriority w:val="99"/>
    <w:semiHidden/>
    <w:rsid w:val="0003148D"/>
  </w:style>
  <w:style w:type="paragraph" w:styleId="AssinaturadeEmail">
    <w:name w:val="E-mail Signature"/>
    <w:basedOn w:val="Normal"/>
    <w:link w:val="AssinaturadeEmailChar"/>
    <w:uiPriority w:val="99"/>
    <w:semiHidden/>
    <w:unhideWhenUsed/>
    <w:rsid w:val="0003148D"/>
    <w:pPr>
      <w:spacing w:line="240" w:lineRule="auto"/>
    </w:pPr>
  </w:style>
  <w:style w:type="character" w:customStyle="1" w:styleId="AssinaturadeEmailChar">
    <w:name w:val="Assinatura de Email Char"/>
    <w:basedOn w:val="Fontepargpadro"/>
    <w:link w:val="AssinaturadeEmail"/>
    <w:uiPriority w:val="99"/>
    <w:semiHidden/>
    <w:rsid w:val="0003148D"/>
  </w:style>
  <w:style w:type="paragraph" w:styleId="Saudao">
    <w:name w:val="Salutation"/>
    <w:basedOn w:val="Normal"/>
    <w:next w:val="Normal"/>
    <w:link w:val="SaudaoChar"/>
    <w:uiPriority w:val="99"/>
    <w:semiHidden/>
    <w:unhideWhenUsed/>
    <w:rsid w:val="0003148D"/>
  </w:style>
  <w:style w:type="character" w:customStyle="1" w:styleId="SaudaoChar">
    <w:name w:val="Saudação Char"/>
    <w:basedOn w:val="Fontepargpadro"/>
    <w:link w:val="Saudao"/>
    <w:uiPriority w:val="99"/>
    <w:semiHidden/>
    <w:rsid w:val="0003148D"/>
  </w:style>
  <w:style w:type="paragraph" w:styleId="Encerramento">
    <w:name w:val="Closing"/>
    <w:basedOn w:val="Normal"/>
    <w:link w:val="EncerramentoChar"/>
    <w:uiPriority w:val="99"/>
    <w:semiHidden/>
    <w:unhideWhenUsed/>
    <w:rsid w:val="0003148D"/>
    <w:pPr>
      <w:spacing w:line="240" w:lineRule="auto"/>
      <w:ind w:left="4252"/>
    </w:pPr>
  </w:style>
  <w:style w:type="character" w:customStyle="1" w:styleId="EncerramentoChar">
    <w:name w:val="Encerramento Char"/>
    <w:basedOn w:val="Fontepargpadro"/>
    <w:link w:val="Encerramento"/>
    <w:uiPriority w:val="99"/>
    <w:semiHidden/>
    <w:rsid w:val="0003148D"/>
  </w:style>
  <w:style w:type="paragraph" w:styleId="Remissivo1">
    <w:name w:val="index 1"/>
    <w:basedOn w:val="Normal"/>
    <w:next w:val="Normal"/>
    <w:autoRedefine/>
    <w:uiPriority w:val="99"/>
    <w:semiHidden/>
    <w:unhideWhenUsed/>
    <w:rsid w:val="0003148D"/>
    <w:pPr>
      <w:spacing w:line="240" w:lineRule="auto"/>
      <w:ind w:left="220" w:hanging="220"/>
    </w:pPr>
  </w:style>
  <w:style w:type="paragraph" w:styleId="Remissivo2">
    <w:name w:val="index 2"/>
    <w:basedOn w:val="Normal"/>
    <w:next w:val="Normal"/>
    <w:autoRedefine/>
    <w:uiPriority w:val="99"/>
    <w:semiHidden/>
    <w:unhideWhenUsed/>
    <w:rsid w:val="0003148D"/>
    <w:pPr>
      <w:spacing w:line="240" w:lineRule="auto"/>
      <w:ind w:left="440" w:hanging="220"/>
    </w:pPr>
  </w:style>
  <w:style w:type="paragraph" w:styleId="Remissivo3">
    <w:name w:val="index 3"/>
    <w:basedOn w:val="Normal"/>
    <w:next w:val="Normal"/>
    <w:autoRedefine/>
    <w:uiPriority w:val="99"/>
    <w:semiHidden/>
    <w:unhideWhenUsed/>
    <w:rsid w:val="0003148D"/>
    <w:pPr>
      <w:spacing w:line="240" w:lineRule="auto"/>
      <w:ind w:left="660" w:hanging="220"/>
    </w:pPr>
  </w:style>
  <w:style w:type="paragraph" w:styleId="Remissivo4">
    <w:name w:val="index 4"/>
    <w:basedOn w:val="Normal"/>
    <w:next w:val="Normal"/>
    <w:autoRedefine/>
    <w:uiPriority w:val="99"/>
    <w:semiHidden/>
    <w:unhideWhenUsed/>
    <w:rsid w:val="0003148D"/>
    <w:pPr>
      <w:spacing w:line="240" w:lineRule="auto"/>
      <w:ind w:left="880" w:hanging="220"/>
    </w:pPr>
  </w:style>
  <w:style w:type="paragraph" w:styleId="Remissivo5">
    <w:name w:val="index 5"/>
    <w:basedOn w:val="Normal"/>
    <w:next w:val="Normal"/>
    <w:autoRedefine/>
    <w:uiPriority w:val="99"/>
    <w:semiHidden/>
    <w:unhideWhenUsed/>
    <w:rsid w:val="0003148D"/>
    <w:pPr>
      <w:spacing w:line="240" w:lineRule="auto"/>
      <w:ind w:left="1100" w:hanging="220"/>
    </w:pPr>
  </w:style>
  <w:style w:type="paragraph" w:styleId="Remissivo6">
    <w:name w:val="index 6"/>
    <w:basedOn w:val="Normal"/>
    <w:next w:val="Normal"/>
    <w:autoRedefine/>
    <w:uiPriority w:val="99"/>
    <w:semiHidden/>
    <w:unhideWhenUsed/>
    <w:rsid w:val="0003148D"/>
    <w:pPr>
      <w:spacing w:line="240" w:lineRule="auto"/>
      <w:ind w:left="1320" w:hanging="220"/>
    </w:pPr>
  </w:style>
  <w:style w:type="paragraph" w:styleId="Remissivo7">
    <w:name w:val="index 7"/>
    <w:basedOn w:val="Normal"/>
    <w:next w:val="Normal"/>
    <w:autoRedefine/>
    <w:uiPriority w:val="99"/>
    <w:semiHidden/>
    <w:unhideWhenUsed/>
    <w:rsid w:val="0003148D"/>
    <w:pPr>
      <w:spacing w:line="240" w:lineRule="auto"/>
      <w:ind w:left="1540" w:hanging="220"/>
    </w:pPr>
  </w:style>
  <w:style w:type="paragraph" w:styleId="Remissivo8">
    <w:name w:val="index 8"/>
    <w:basedOn w:val="Normal"/>
    <w:next w:val="Normal"/>
    <w:autoRedefine/>
    <w:uiPriority w:val="99"/>
    <w:semiHidden/>
    <w:unhideWhenUsed/>
    <w:rsid w:val="0003148D"/>
    <w:pPr>
      <w:spacing w:line="240" w:lineRule="auto"/>
      <w:ind w:left="1760" w:hanging="220"/>
    </w:pPr>
  </w:style>
  <w:style w:type="paragraph" w:styleId="Remissivo9">
    <w:name w:val="index 9"/>
    <w:basedOn w:val="Normal"/>
    <w:next w:val="Normal"/>
    <w:autoRedefine/>
    <w:uiPriority w:val="99"/>
    <w:semiHidden/>
    <w:unhideWhenUsed/>
    <w:rsid w:val="0003148D"/>
    <w:pPr>
      <w:spacing w:line="240" w:lineRule="auto"/>
      <w:ind w:left="1980" w:hanging="220"/>
    </w:pPr>
  </w:style>
  <w:style w:type="paragraph" w:styleId="ndicedeilustraes">
    <w:name w:val="table of figures"/>
    <w:basedOn w:val="Normal"/>
    <w:next w:val="Normal"/>
    <w:uiPriority w:val="99"/>
    <w:semiHidden/>
    <w:unhideWhenUsed/>
    <w:rsid w:val="0003148D"/>
  </w:style>
  <w:style w:type="paragraph" w:styleId="ndicedeautoridades">
    <w:name w:val="table of authorities"/>
    <w:basedOn w:val="Normal"/>
    <w:next w:val="Normal"/>
    <w:uiPriority w:val="99"/>
    <w:semiHidden/>
    <w:unhideWhenUsed/>
    <w:rsid w:val="0003148D"/>
    <w:pPr>
      <w:ind w:left="220" w:hanging="220"/>
    </w:pPr>
  </w:style>
  <w:style w:type="paragraph" w:styleId="Destinatrio">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dereoHTML">
    <w:name w:val="HTML Address"/>
    <w:basedOn w:val="Normal"/>
    <w:link w:val="EndereoHTMLChar"/>
    <w:uiPriority w:val="99"/>
    <w:semiHidden/>
    <w:unhideWhenUsed/>
    <w:rsid w:val="0003148D"/>
    <w:pPr>
      <w:spacing w:line="240" w:lineRule="auto"/>
    </w:pPr>
    <w:rPr>
      <w:i/>
      <w:iCs/>
    </w:rPr>
  </w:style>
  <w:style w:type="character" w:customStyle="1" w:styleId="EndereoHTMLChar">
    <w:name w:val="Endereço HTML Char"/>
    <w:basedOn w:val="Fontepargpadro"/>
    <w:link w:val="EndereoHTML"/>
    <w:uiPriority w:val="99"/>
    <w:semiHidden/>
    <w:rsid w:val="0003148D"/>
    <w:rPr>
      <w:i/>
      <w:iCs/>
    </w:rPr>
  </w:style>
  <w:style w:type="paragraph" w:styleId="Remetente">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Cabealhodamensagem">
    <w:name w:val="Message Header"/>
    <w:basedOn w:val="Normal"/>
    <w:link w:val="Cabealhodamensagem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CabealhodamensagemChar">
    <w:name w:val="Cabeçalho da mensagem Char"/>
    <w:basedOn w:val="Fontepargpadro"/>
    <w:link w:val="Cabealhodamensagem"/>
    <w:uiPriority w:val="99"/>
    <w:semiHidden/>
    <w:rsid w:val="0003148D"/>
    <w:rPr>
      <w:rFonts w:asciiTheme="majorHAnsi" w:eastAsiaTheme="majorEastAsia" w:hAnsiTheme="majorHAnsi" w:cstheme="majorBidi"/>
      <w:sz w:val="24"/>
      <w:szCs w:val="24"/>
      <w:shd w:val="pct20" w:color="auto" w:fill="auto"/>
    </w:rPr>
  </w:style>
  <w:style w:type="paragraph" w:styleId="Ttulodanota">
    <w:name w:val="Note Heading"/>
    <w:basedOn w:val="Normal"/>
    <w:next w:val="Normal"/>
    <w:link w:val="TtulodanotaChar"/>
    <w:uiPriority w:val="99"/>
    <w:semiHidden/>
    <w:unhideWhenUsed/>
    <w:rsid w:val="0003148D"/>
    <w:pPr>
      <w:spacing w:line="240" w:lineRule="auto"/>
    </w:pPr>
  </w:style>
  <w:style w:type="character" w:customStyle="1" w:styleId="TtulodanotaChar">
    <w:name w:val="Título da nota Char"/>
    <w:basedOn w:val="Fontepargpadro"/>
    <w:link w:val="Ttulodanota"/>
    <w:uiPriority w:val="99"/>
    <w:semiHidden/>
    <w:rsid w:val="0003148D"/>
  </w:style>
  <w:style w:type="paragraph" w:styleId="MapadoDocumento">
    <w:name w:val="Document Map"/>
    <w:basedOn w:val="Normal"/>
    <w:link w:val="MapadoDocumentoChar"/>
    <w:uiPriority w:val="99"/>
    <w:semiHidden/>
    <w:unhideWhenUsed/>
    <w:rsid w:val="0003148D"/>
    <w:pPr>
      <w:spacing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Numerada">
    <w:name w:val="List Number"/>
    <w:basedOn w:val="Normal"/>
    <w:uiPriority w:val="99"/>
    <w:semiHidden/>
    <w:unhideWhenUsed/>
    <w:rsid w:val="0003148D"/>
    <w:pPr>
      <w:numPr>
        <w:numId w:val="2"/>
      </w:numPr>
      <w:contextualSpacing/>
    </w:pPr>
  </w:style>
  <w:style w:type="paragraph" w:styleId="Numerada2">
    <w:name w:val="List Number 2"/>
    <w:basedOn w:val="Normal"/>
    <w:uiPriority w:val="99"/>
    <w:semiHidden/>
    <w:unhideWhenUsed/>
    <w:rsid w:val="0003148D"/>
    <w:pPr>
      <w:numPr>
        <w:numId w:val="3"/>
      </w:numPr>
      <w:contextualSpacing/>
    </w:pPr>
  </w:style>
  <w:style w:type="paragraph" w:styleId="Numerada3">
    <w:name w:val="List Number 3"/>
    <w:basedOn w:val="Normal"/>
    <w:uiPriority w:val="99"/>
    <w:semiHidden/>
    <w:unhideWhenUsed/>
    <w:rsid w:val="0003148D"/>
    <w:pPr>
      <w:numPr>
        <w:numId w:val="4"/>
      </w:numPr>
      <w:contextualSpacing/>
    </w:pPr>
  </w:style>
  <w:style w:type="paragraph" w:styleId="Numerada4">
    <w:name w:val="List Number 4"/>
    <w:basedOn w:val="Normal"/>
    <w:uiPriority w:val="99"/>
    <w:semiHidden/>
    <w:unhideWhenUsed/>
    <w:rsid w:val="0003148D"/>
    <w:pPr>
      <w:numPr>
        <w:numId w:val="5"/>
      </w:numPr>
      <w:contextualSpacing/>
    </w:pPr>
  </w:style>
  <w:style w:type="paragraph" w:styleId="Numerada5">
    <w:name w:val="List Number 5"/>
    <w:basedOn w:val="Normal"/>
    <w:uiPriority w:val="99"/>
    <w:semiHidden/>
    <w:unhideWhenUsed/>
    <w:rsid w:val="0003148D"/>
    <w:pPr>
      <w:numPr>
        <w:numId w:val="6"/>
      </w:numPr>
      <w:contextualSpacing/>
    </w:pPr>
  </w:style>
  <w:style w:type="paragraph" w:styleId="Pr-formataoHTML">
    <w:name w:val="HTML Preformatted"/>
    <w:basedOn w:val="Normal"/>
    <w:link w:val="Pr-formataoHTMLChar"/>
    <w:uiPriority w:val="99"/>
    <w:semiHidden/>
    <w:unhideWhenUsed/>
    <w:rsid w:val="0003148D"/>
    <w:pPr>
      <w:spacing w:line="240" w:lineRule="auto"/>
    </w:pPr>
    <w:rPr>
      <w:rFonts w:ascii="Consolas" w:hAnsi="Consolas" w:cs="Consolas"/>
    </w:rPr>
  </w:style>
  <w:style w:type="character" w:customStyle="1" w:styleId="Pr-formataoHTMLChar">
    <w:name w:val="Pré-formatação HTML Char"/>
    <w:basedOn w:val="Fontepargpadro"/>
    <w:link w:val="Pr-formataoHTML"/>
    <w:uiPriority w:val="99"/>
    <w:semiHidden/>
    <w:rsid w:val="0003148D"/>
    <w:rPr>
      <w:rFonts w:ascii="Consolas" w:hAnsi="Consolas" w:cs="Consolas"/>
      <w:sz w:val="20"/>
      <w:szCs w:val="20"/>
    </w:rPr>
  </w:style>
  <w:style w:type="paragraph" w:styleId="Primeirorecuodecorpodetexto">
    <w:name w:val="Body Text First Indent"/>
    <w:basedOn w:val="Corpodetexto"/>
    <w:link w:val="PrimeirorecuodecorpodetextoChar"/>
    <w:uiPriority w:val="99"/>
    <w:semiHidden/>
    <w:unhideWhenUsed/>
    <w:rsid w:val="0003148D"/>
    <w:pPr>
      <w:spacing w:after="200"/>
      <w:ind w:firstLine="360"/>
    </w:pPr>
  </w:style>
  <w:style w:type="character" w:customStyle="1" w:styleId="PrimeirorecuodecorpodetextoChar">
    <w:name w:val="Primeiro recuo de corpo de texto Char"/>
    <w:basedOn w:val="CorpodetextoChar"/>
    <w:link w:val="Primeirorecuodecorpodetexto"/>
    <w:uiPriority w:val="99"/>
    <w:semiHidden/>
    <w:rsid w:val="0003148D"/>
  </w:style>
  <w:style w:type="paragraph" w:styleId="Recuodecorpodetexto">
    <w:name w:val="Body Text Indent"/>
    <w:basedOn w:val="Normal"/>
    <w:link w:val="RecuodecorpodetextoChar"/>
    <w:uiPriority w:val="99"/>
    <w:semiHidden/>
    <w:unhideWhenUsed/>
    <w:rsid w:val="0003148D"/>
    <w:pPr>
      <w:spacing w:after="120"/>
      <w:ind w:left="283"/>
    </w:pPr>
  </w:style>
  <w:style w:type="character" w:customStyle="1" w:styleId="RecuodecorpodetextoChar">
    <w:name w:val="Recuo de corpo de texto Char"/>
    <w:basedOn w:val="Fontepargpadro"/>
    <w:link w:val="Recuodecorpodetexto"/>
    <w:uiPriority w:val="99"/>
    <w:semiHidden/>
    <w:rsid w:val="0003148D"/>
  </w:style>
  <w:style w:type="paragraph" w:styleId="Primeirorecuodecorpodetexto2">
    <w:name w:val="Body Text First Indent 2"/>
    <w:basedOn w:val="Recuodecorpodetexto"/>
    <w:link w:val="Primeirorecuodecorpodetexto2Char"/>
    <w:uiPriority w:val="99"/>
    <w:semiHidden/>
    <w:unhideWhenUsed/>
    <w:rsid w:val="0003148D"/>
    <w:pPr>
      <w:spacing w:after="200"/>
      <w:ind w:left="360" w:firstLine="360"/>
    </w:pPr>
  </w:style>
  <w:style w:type="character" w:customStyle="1" w:styleId="Primeirorecuodecorpodetexto2Char">
    <w:name w:val="Primeiro recuo de corpo de texto 2 Char"/>
    <w:basedOn w:val="RecuodecorpodetextoChar"/>
    <w:link w:val="Primeirorecuodecorpodetexto2"/>
    <w:uiPriority w:val="99"/>
    <w:semiHidden/>
    <w:rsid w:val="0003148D"/>
  </w:style>
  <w:style w:type="paragraph" w:styleId="Commarcadores">
    <w:name w:val="List Bullet"/>
    <w:basedOn w:val="Normal"/>
    <w:uiPriority w:val="99"/>
    <w:semiHidden/>
    <w:unhideWhenUsed/>
    <w:rsid w:val="0003148D"/>
    <w:pPr>
      <w:numPr>
        <w:numId w:val="7"/>
      </w:numPr>
      <w:contextualSpacing/>
    </w:pPr>
  </w:style>
  <w:style w:type="paragraph" w:styleId="Commarcadores2">
    <w:name w:val="List Bullet 2"/>
    <w:basedOn w:val="Normal"/>
    <w:uiPriority w:val="99"/>
    <w:semiHidden/>
    <w:unhideWhenUsed/>
    <w:rsid w:val="0003148D"/>
    <w:pPr>
      <w:numPr>
        <w:numId w:val="8"/>
      </w:numPr>
      <w:contextualSpacing/>
    </w:pPr>
  </w:style>
  <w:style w:type="paragraph" w:styleId="Commarcadores3">
    <w:name w:val="List Bullet 3"/>
    <w:basedOn w:val="Normal"/>
    <w:uiPriority w:val="99"/>
    <w:semiHidden/>
    <w:unhideWhenUsed/>
    <w:rsid w:val="0003148D"/>
    <w:pPr>
      <w:numPr>
        <w:numId w:val="9"/>
      </w:numPr>
      <w:contextualSpacing/>
    </w:pPr>
  </w:style>
  <w:style w:type="paragraph" w:styleId="Commarcadores4">
    <w:name w:val="List Bullet 4"/>
    <w:basedOn w:val="Normal"/>
    <w:uiPriority w:val="99"/>
    <w:semiHidden/>
    <w:unhideWhenUsed/>
    <w:rsid w:val="0003148D"/>
    <w:pPr>
      <w:numPr>
        <w:numId w:val="10"/>
      </w:numPr>
      <w:contextualSpacing/>
    </w:pPr>
  </w:style>
  <w:style w:type="paragraph" w:styleId="Commarcadores5">
    <w:name w:val="List Bullet 5"/>
    <w:basedOn w:val="Normal"/>
    <w:uiPriority w:val="99"/>
    <w:semiHidden/>
    <w:unhideWhenUsed/>
    <w:rsid w:val="0003148D"/>
    <w:pPr>
      <w:numPr>
        <w:numId w:val="11"/>
      </w:numPr>
      <w:contextualSpacing/>
    </w:pPr>
  </w:style>
  <w:style w:type="paragraph" w:styleId="Recuodecorpodetexto2">
    <w:name w:val="Body Text Indent 2"/>
    <w:basedOn w:val="Normal"/>
    <w:link w:val="Recuodecorpodetexto2Char"/>
    <w:uiPriority w:val="99"/>
    <w:semiHidden/>
    <w:unhideWhenUsed/>
    <w:rsid w:val="0003148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03148D"/>
  </w:style>
  <w:style w:type="paragraph" w:styleId="Recuodecorpodetexto3">
    <w:name w:val="Body Text Indent 3"/>
    <w:basedOn w:val="Normal"/>
    <w:link w:val="Recuodecorpodetexto3Char"/>
    <w:uiPriority w:val="99"/>
    <w:semiHidden/>
    <w:unhideWhenUsed/>
    <w:rsid w:val="0003148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03148D"/>
    <w:rPr>
      <w:sz w:val="16"/>
      <w:szCs w:val="16"/>
    </w:rPr>
  </w:style>
  <w:style w:type="paragraph" w:styleId="Recuonormal">
    <w:name w:val="Normal Indent"/>
    <w:basedOn w:val="Normal"/>
    <w:uiPriority w:val="99"/>
    <w:semiHidden/>
    <w:unhideWhenUsed/>
    <w:rsid w:val="0003148D"/>
    <w:pPr>
      <w:ind w:left="720"/>
    </w:pPr>
  </w:style>
  <w:style w:type="paragraph" w:styleId="Textodecomentrio">
    <w:name w:val="annotation text"/>
    <w:basedOn w:val="Normal"/>
    <w:link w:val="TextodecomentrioChar"/>
    <w:uiPriority w:val="99"/>
    <w:unhideWhenUsed/>
    <w:rsid w:val="0003148D"/>
    <w:pPr>
      <w:spacing w:line="240" w:lineRule="auto"/>
    </w:pPr>
  </w:style>
  <w:style w:type="character" w:customStyle="1" w:styleId="TextodecomentrioChar">
    <w:name w:val="Texto de comentário Char"/>
    <w:basedOn w:val="Fontepargpadro"/>
    <w:link w:val="Textodecomentrio"/>
    <w:uiPriority w:val="99"/>
    <w:rsid w:val="0003148D"/>
    <w:rPr>
      <w:sz w:val="20"/>
      <w:szCs w:val="20"/>
    </w:rPr>
  </w:style>
  <w:style w:type="paragraph" w:styleId="Assuntodocomentrio">
    <w:name w:val="annotation subject"/>
    <w:basedOn w:val="Textodecomentrio"/>
    <w:next w:val="Textodecomentrio"/>
    <w:link w:val="AssuntodocomentrioChar"/>
    <w:uiPriority w:val="99"/>
    <w:semiHidden/>
    <w:unhideWhenUsed/>
    <w:rsid w:val="0003148D"/>
    <w:rPr>
      <w:b/>
      <w:bCs/>
    </w:rPr>
  </w:style>
  <w:style w:type="character" w:customStyle="1" w:styleId="AssuntodocomentrioChar">
    <w:name w:val="Assunto do comentário Char"/>
    <w:basedOn w:val="TextodecomentrioChar"/>
    <w:link w:val="Assuntodocomentrio"/>
    <w:uiPriority w:val="99"/>
    <w:semiHidden/>
    <w:rsid w:val="0003148D"/>
    <w:rPr>
      <w:b/>
      <w:bCs/>
      <w:sz w:val="20"/>
      <w:szCs w:val="20"/>
    </w:rPr>
  </w:style>
  <w:style w:type="paragraph" w:styleId="Sumrio1">
    <w:name w:val="toc 1"/>
    <w:basedOn w:val="Normal"/>
    <w:next w:val="Normal"/>
    <w:autoRedefine/>
    <w:uiPriority w:val="39"/>
    <w:semiHidden/>
    <w:unhideWhenUsed/>
    <w:rsid w:val="0003148D"/>
    <w:pPr>
      <w:spacing w:after="100"/>
    </w:pPr>
  </w:style>
  <w:style w:type="paragraph" w:styleId="Sumrio2">
    <w:name w:val="toc 2"/>
    <w:basedOn w:val="Normal"/>
    <w:next w:val="Normal"/>
    <w:autoRedefine/>
    <w:uiPriority w:val="39"/>
    <w:semiHidden/>
    <w:unhideWhenUsed/>
    <w:rsid w:val="0003148D"/>
    <w:pPr>
      <w:spacing w:after="100"/>
      <w:ind w:left="220"/>
    </w:pPr>
  </w:style>
  <w:style w:type="paragraph" w:styleId="Sumrio3">
    <w:name w:val="toc 3"/>
    <w:basedOn w:val="Normal"/>
    <w:next w:val="Normal"/>
    <w:autoRedefine/>
    <w:uiPriority w:val="39"/>
    <w:semiHidden/>
    <w:unhideWhenUsed/>
    <w:rsid w:val="0003148D"/>
    <w:pPr>
      <w:spacing w:after="100"/>
      <w:ind w:left="440"/>
    </w:pPr>
  </w:style>
  <w:style w:type="paragraph" w:styleId="Sumrio4">
    <w:name w:val="toc 4"/>
    <w:basedOn w:val="Normal"/>
    <w:next w:val="Normal"/>
    <w:autoRedefine/>
    <w:uiPriority w:val="39"/>
    <w:semiHidden/>
    <w:unhideWhenUsed/>
    <w:rsid w:val="0003148D"/>
    <w:pPr>
      <w:spacing w:after="100"/>
      <w:ind w:left="660"/>
    </w:pPr>
  </w:style>
  <w:style w:type="paragraph" w:styleId="Sumrio5">
    <w:name w:val="toc 5"/>
    <w:basedOn w:val="Normal"/>
    <w:next w:val="Normal"/>
    <w:autoRedefine/>
    <w:uiPriority w:val="39"/>
    <w:semiHidden/>
    <w:unhideWhenUsed/>
    <w:rsid w:val="0003148D"/>
    <w:pPr>
      <w:spacing w:after="100"/>
      <w:ind w:left="880"/>
    </w:pPr>
  </w:style>
  <w:style w:type="paragraph" w:styleId="Sumrio6">
    <w:name w:val="toc 6"/>
    <w:basedOn w:val="Normal"/>
    <w:next w:val="Normal"/>
    <w:autoRedefine/>
    <w:uiPriority w:val="39"/>
    <w:semiHidden/>
    <w:unhideWhenUsed/>
    <w:rsid w:val="0003148D"/>
    <w:pPr>
      <w:spacing w:after="100"/>
      <w:ind w:left="1100"/>
    </w:pPr>
  </w:style>
  <w:style w:type="paragraph" w:styleId="Sumrio7">
    <w:name w:val="toc 7"/>
    <w:basedOn w:val="Normal"/>
    <w:next w:val="Normal"/>
    <w:autoRedefine/>
    <w:uiPriority w:val="39"/>
    <w:semiHidden/>
    <w:unhideWhenUsed/>
    <w:rsid w:val="0003148D"/>
    <w:pPr>
      <w:spacing w:after="100"/>
      <w:ind w:left="1320"/>
    </w:pPr>
  </w:style>
  <w:style w:type="paragraph" w:styleId="Sumrio8">
    <w:name w:val="toc 8"/>
    <w:basedOn w:val="Normal"/>
    <w:next w:val="Normal"/>
    <w:autoRedefine/>
    <w:uiPriority w:val="39"/>
    <w:semiHidden/>
    <w:unhideWhenUsed/>
    <w:rsid w:val="0003148D"/>
    <w:pPr>
      <w:spacing w:after="100"/>
      <w:ind w:left="1540"/>
    </w:pPr>
  </w:style>
  <w:style w:type="paragraph" w:styleId="Sumrio9">
    <w:name w:val="toc 9"/>
    <w:basedOn w:val="Normal"/>
    <w:next w:val="Normal"/>
    <w:autoRedefine/>
    <w:uiPriority w:val="39"/>
    <w:semiHidden/>
    <w:unhideWhenUsed/>
    <w:rsid w:val="0003148D"/>
    <w:pPr>
      <w:spacing w:after="100"/>
      <w:ind w:left="1760"/>
    </w:pPr>
  </w:style>
  <w:style w:type="paragraph" w:styleId="Textoembloco">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demacro">
    <w:name w:val="macro"/>
    <w:link w:val="Textodemacro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demacroChar">
    <w:name w:val="Texto de macro Char"/>
    <w:basedOn w:val="Fontepargpadro"/>
    <w:link w:val="Textodemacro"/>
    <w:uiPriority w:val="99"/>
    <w:semiHidden/>
    <w:rsid w:val="0003148D"/>
    <w:rPr>
      <w:rFonts w:ascii="Consolas" w:hAnsi="Consolas" w:cs="Consolas"/>
      <w:sz w:val="20"/>
      <w:szCs w:val="20"/>
    </w:rPr>
  </w:style>
  <w:style w:type="paragraph" w:styleId="TextosemFormatao">
    <w:name w:val="Plain Text"/>
    <w:basedOn w:val="Normal"/>
    <w:link w:val="TextosemFormataoChar"/>
    <w:uiPriority w:val="99"/>
    <w:semiHidden/>
    <w:unhideWhenUsed/>
    <w:rsid w:val="0003148D"/>
    <w:pPr>
      <w:spacing w:line="240" w:lineRule="auto"/>
    </w:pPr>
    <w:rPr>
      <w:rFonts w:ascii="Consolas" w:hAnsi="Consolas" w:cs="Consolas"/>
      <w:sz w:val="21"/>
      <w:szCs w:val="21"/>
    </w:rPr>
  </w:style>
  <w:style w:type="character" w:customStyle="1" w:styleId="TextosemFormataoChar">
    <w:name w:val="Texto sem Formatação Char"/>
    <w:basedOn w:val="Fontepargpadro"/>
    <w:link w:val="TextosemFormatao"/>
    <w:uiPriority w:val="99"/>
    <w:semiHidden/>
    <w:rsid w:val="0003148D"/>
    <w:rPr>
      <w:rFonts w:ascii="Consolas" w:hAnsi="Consolas" w:cs="Consolas"/>
      <w:sz w:val="21"/>
      <w:szCs w:val="21"/>
    </w:rPr>
  </w:style>
  <w:style w:type="paragraph" w:styleId="Textodenotaderodap">
    <w:name w:val="footnote text"/>
    <w:basedOn w:val="Normal"/>
    <w:link w:val="TextodenotaderodapChar"/>
    <w:uiPriority w:val="99"/>
    <w:semiHidden/>
    <w:unhideWhenUsed/>
    <w:rsid w:val="0003148D"/>
    <w:pPr>
      <w:spacing w:line="240" w:lineRule="auto"/>
    </w:pPr>
  </w:style>
  <w:style w:type="character" w:customStyle="1" w:styleId="TextodenotaderodapChar">
    <w:name w:val="Texto de nota de rodapé Char"/>
    <w:basedOn w:val="Fontepargpadro"/>
    <w:link w:val="Textodenotaderodap"/>
    <w:uiPriority w:val="99"/>
    <w:semiHidden/>
    <w:rsid w:val="0003148D"/>
    <w:rPr>
      <w:sz w:val="20"/>
      <w:szCs w:val="20"/>
    </w:rPr>
  </w:style>
  <w:style w:type="paragraph" w:styleId="Textodenotadefim">
    <w:name w:val="endnote text"/>
    <w:basedOn w:val="Normal"/>
    <w:link w:val="TextodenotadefimChar"/>
    <w:uiPriority w:val="99"/>
    <w:semiHidden/>
    <w:unhideWhenUsed/>
    <w:rsid w:val="0003148D"/>
    <w:pPr>
      <w:spacing w:line="240" w:lineRule="auto"/>
    </w:pPr>
  </w:style>
  <w:style w:type="character" w:customStyle="1" w:styleId="TextodenotadefimChar">
    <w:name w:val="Texto de nota de fim Char"/>
    <w:basedOn w:val="Fontepargpadro"/>
    <w:link w:val="Textodenotadefim"/>
    <w:uiPriority w:val="99"/>
    <w:semiHidden/>
    <w:rsid w:val="0003148D"/>
    <w:rPr>
      <w:sz w:val="20"/>
      <w:szCs w:val="20"/>
    </w:rPr>
  </w:style>
  <w:style w:type="character" w:customStyle="1" w:styleId="Ttulo1Char">
    <w:name w:val="Título 1 Char"/>
    <w:basedOn w:val="Fontepargpadro"/>
    <w:link w:val="Ttulo1"/>
    <w:uiPriority w:val="9"/>
    <w:rsid w:val="004F5E36"/>
    <w:rPr>
      <w:rFonts w:ascii="Arial" w:eastAsia="Times New Roman" w:hAnsi="Arial" w:cs="Times New Roman"/>
      <w:b/>
      <w:sz w:val="20"/>
      <w:szCs w:val="20"/>
      <w:lang w:val="en-GB"/>
    </w:rPr>
  </w:style>
  <w:style w:type="character" w:customStyle="1" w:styleId="Ttulo2Char">
    <w:name w:val="Título 2 Char"/>
    <w:basedOn w:val="Fontepargpadro"/>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03148D"/>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Ttulodendiceremissivo">
    <w:name w:val="index heading"/>
    <w:basedOn w:val="Normal"/>
    <w:next w:val="Remissivo1"/>
    <w:uiPriority w:val="99"/>
    <w:semiHidden/>
    <w:unhideWhenUsed/>
    <w:rsid w:val="0003148D"/>
    <w:rPr>
      <w:rFonts w:asciiTheme="majorHAnsi" w:eastAsiaTheme="majorEastAsia" w:hAnsiTheme="majorHAnsi" w:cstheme="majorBidi"/>
      <w:b/>
      <w:bCs/>
    </w:rPr>
  </w:style>
  <w:style w:type="paragraph" w:styleId="Ttulodendicedeautoridades">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CabealhodoSumrio">
    <w:name w:val="TOC Heading"/>
    <w:basedOn w:val="Ttulo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Fontepargpadr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Cabealho">
    <w:name w:val="header"/>
    <w:basedOn w:val="Normal"/>
    <w:link w:val="CabealhoChar"/>
    <w:uiPriority w:val="99"/>
    <w:unhideWhenUsed/>
    <w:rsid w:val="005278B7"/>
    <w:pPr>
      <w:tabs>
        <w:tab w:val="clear" w:pos="7100"/>
        <w:tab w:val="center" w:pos="4819"/>
        <w:tab w:val="right" w:pos="9638"/>
      </w:tabs>
      <w:spacing w:line="240" w:lineRule="auto"/>
    </w:pPr>
  </w:style>
  <w:style w:type="character" w:customStyle="1" w:styleId="CabealhoChar">
    <w:name w:val="Cabeçalho Char"/>
    <w:basedOn w:val="Fontepargpadro"/>
    <w:link w:val="Cabealho"/>
    <w:uiPriority w:val="99"/>
    <w:rsid w:val="005278B7"/>
    <w:rPr>
      <w:rFonts w:ascii="Arial" w:eastAsia="Times New Roman" w:hAnsi="Arial" w:cs="Times New Roman"/>
      <w:sz w:val="18"/>
      <w:szCs w:val="20"/>
      <w:lang w:val="en-GB"/>
    </w:rPr>
  </w:style>
  <w:style w:type="paragraph" w:styleId="Rodap">
    <w:name w:val="footer"/>
    <w:basedOn w:val="Normal"/>
    <w:link w:val="RodapChar"/>
    <w:uiPriority w:val="99"/>
    <w:unhideWhenUsed/>
    <w:rsid w:val="005278B7"/>
    <w:pPr>
      <w:tabs>
        <w:tab w:val="clear" w:pos="7100"/>
        <w:tab w:val="center" w:pos="4819"/>
        <w:tab w:val="right" w:pos="9638"/>
      </w:tabs>
      <w:spacing w:line="240" w:lineRule="auto"/>
    </w:pPr>
  </w:style>
  <w:style w:type="character" w:customStyle="1" w:styleId="RodapChar">
    <w:name w:val="Rodapé Char"/>
    <w:basedOn w:val="Fontepargpadro"/>
    <w:link w:val="Rodap"/>
    <w:uiPriority w:val="99"/>
    <w:rsid w:val="005278B7"/>
    <w:rPr>
      <w:rFonts w:ascii="Arial" w:eastAsia="Times New Roman" w:hAnsi="Arial" w:cs="Times New Roman"/>
      <w:sz w:val="18"/>
      <w:szCs w:val="20"/>
      <w:lang w:val="en-GB"/>
    </w:rPr>
  </w:style>
  <w:style w:type="table" w:styleId="Tabelacomgrade">
    <w:name w:val="Table Grid"/>
    <w:basedOn w:val="Tabela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904C62"/>
    <w:rPr>
      <w:color w:val="0000FF" w:themeColor="hyperlink"/>
      <w:u w:val="single"/>
    </w:rPr>
  </w:style>
  <w:style w:type="character" w:customStyle="1" w:styleId="eudoraheader">
    <w:name w:val="eudoraheader"/>
    <w:basedOn w:val="Fontepargpadr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grafodaLista">
    <w:name w:val="List Paragraph"/>
    <w:basedOn w:val="Normal"/>
    <w:uiPriority w:val="34"/>
    <w:rsid w:val="00280FAF"/>
    <w:pPr>
      <w:ind w:left="720"/>
      <w:contextualSpacing/>
    </w:pPr>
  </w:style>
  <w:style w:type="character" w:customStyle="1" w:styleId="gmail-apple-converted-space">
    <w:name w:val="gmail-apple-converted-space"/>
    <w:basedOn w:val="Fontepargpadro"/>
    <w:rsid w:val="00005A19"/>
  </w:style>
  <w:style w:type="character" w:styleId="MenoPendente">
    <w:name w:val="Unresolved Mention"/>
    <w:basedOn w:val="Fontepargpadro"/>
    <w:uiPriority w:val="99"/>
    <w:semiHidden/>
    <w:unhideWhenUsed/>
    <w:rsid w:val="00196B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12386</TotalTime>
  <Pages>6</Pages>
  <Words>3098</Words>
  <Characters>16730</Characters>
  <Application>Microsoft Office Word</Application>
  <DocSecurity>0</DocSecurity>
  <Lines>139</Lines>
  <Paragraphs>39</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19789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dc:creator>
  <cp:keywords/>
  <dc:description/>
  <cp:lastModifiedBy>Maryana Santos</cp:lastModifiedBy>
  <cp:revision>15</cp:revision>
  <cp:lastPrinted>2015-05-12T18:31:00Z</cp:lastPrinted>
  <dcterms:created xsi:type="dcterms:W3CDTF">2024-02-20T10:29:00Z</dcterms:created>
  <dcterms:modified xsi:type="dcterms:W3CDTF">2026-03-12T19:28:00Z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